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47951</w:instrText>
      </w:r>
      <w:r>
        <w:rPr>
          <w:rFonts w:ascii="Garamond" w:hAnsi="Garamond"/>
          <w:bCs/>
        </w:rPr>
        <w:instrText xml:space="preserve"> &lt;&gt; "" "</w:instrText>
      </w:r>
      <w:r>
        <w:rPr>
          <w:rFonts w:ascii="Garamond" w:hAnsi="Garamond"/>
          <w:bCs/>
        </w:rPr>
        <w:instrText>2026 Pediatric Grand Rounds on Demand</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Pediatric Grand Rounds on Demand</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August 27,</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47951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PGROD - H. Pylori: is it still a thing? by Benjamin Gold, MD, FACG, FAAP</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PGROD - H. Pylori: is it still a thing? by Benjamin Gold, MD, FACG, FAAP</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Liz Bonachea,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Boyer,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Garee,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D. Gold,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Advisor-Johnson&amp;Johnson|Advisor-Nestle Health Science (Relationship has ended)|Consulting Fee-Ironwood Pharmaceuticals (Relationship has ended)|Advisor-Evolve Biosystems (Relationship has ended)|Advisor-Nutricia Inc|Advisor-Mead Johnson Nutrition|Advisor-Pfizer - 08/06/2026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Jenna Hatab,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Kristina Jiner,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LaLonde,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Tina Lepley,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LEVINSON,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Liao,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Honoraria-Elsevier (Relationship has ended)|Honoraria-Springer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Susi Miller, MLIS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Muehl,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Leena Nahata,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support-National Institutes of Health|Consulting Fee-Worth the Wait nonprofit (Relationship has ended)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Jason Newland,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support-Merck (Relationship has ended)|Grant or research support-Pfizer (Relationship has ended)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Kehinde Obeto,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OBrien,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etc.-iECURE|Advisor-Hemab|Consulting Fee-AstraZeneca (Relationship has ended) - 10/11/2025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Phillips,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Marcie Rehmar-Rogell,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Sapko , Chief Pharmacy Officer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R Tibor,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- 07/15/2026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Explain the epidemiology and modes of transmission of H. pylori infection, including factors contributing to its worldwide prevalence and the rationale for individualized treatment.</w:instrText>
      </w:r>
    </w:p>
    <w:p w:rsidR="004777F1">
      <w:pPr>
        <w:bidi w:val="0"/>
        <w:spacing w:after="280" w:afterAutospacing="1"/>
        <w:rPr>
          <w:rFonts w:ascii="Garamond" w:hAnsi="Garamond"/>
          <w:sz w:val="22"/>
          <w:szCs w:val="22"/>
        </w:rPr>
      </w:pPr>
      <w:r>
        <w:rPr>
          <w:rFonts w:ascii="Garamond" w:hAnsi="Garamond"/>
          <w:sz w:val="22"/>
          <w:szCs w:val="22"/>
        </w:rPr>
        <w:instrText>2 Describe the gastroduodenal diseases and clinical conditions associated with H. pylori infection.</w:instrText>
      </w:r>
    </w:p>
    <w:p w:rsidR="004777F1">
      <w:pPr>
        <w:bidi w:val="0"/>
        <w:spacing w:after="280" w:afterAutospacing="1"/>
        <w:rPr>
          <w:rFonts w:ascii="Garamond" w:hAnsi="Garamond"/>
          <w:sz w:val="22"/>
          <w:szCs w:val="22"/>
        </w:rPr>
      </w:pPr>
      <w:r>
        <w:rPr>
          <w:rFonts w:ascii="Garamond" w:hAnsi="Garamond"/>
          <w:sz w:val="22"/>
          <w:szCs w:val="22"/>
        </w:rPr>
        <w:instrText>3 Evaluate key updates in the 2024–2025 clinical practice guidelines for the diagnosis and management of H. pylori infection.</w:instrText>
      </w:r>
    </w:p>
    <w:p w:rsidR="004777F1">
      <w:pPr>
        <w:bidi w:val="0"/>
        <w:spacing w:after="280" w:afterAutospacing="1"/>
        <w:rPr>
          <w:rFonts w:ascii="Garamond" w:hAnsi="Garamond"/>
          <w:sz w:val="22"/>
          <w:szCs w:val="22"/>
        </w:rPr>
      </w:pPr>
      <w:r>
        <w:rPr>
          <w:rFonts w:ascii="Garamond" w:hAnsi="Garamond"/>
          <w:sz w:val="22"/>
          <w:szCs w:val="22"/>
        </w:rPr>
        <w:instrText xml:space="preserve">4 Analyze the current evidence on H. pylori diagnosis and treatment, including testing strategies, treatment indications, eradication regimens, and the impact of antimicrobial resistance. </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Explain the epidemiology and modes of transmission of H. pylori infection, including factors contributing to its worldwide prevalence and the rationale for individualized treatment.</w:instrText>
      </w:r>
    </w:p>
    <w:p w:rsidP="004777F1">
      <w:pPr>
        <w:ind w:left="540" w:hanging="180"/>
        <w:rPr>
          <w:rFonts w:ascii="Garamond" w:hAnsi="Garamond"/>
          <w:sz w:val="22"/>
          <w:szCs w:val="22"/>
        </w:rPr>
      </w:pPr>
      <w:r>
        <w:rPr>
          <w:rFonts w:ascii="Garamond" w:hAnsi="Garamond"/>
          <w:sz w:val="22"/>
          <w:szCs w:val="22"/>
        </w:rPr>
        <w:instrText>2 Describe the gastroduodenal diseases and clinical conditions associated with H. pylori infection.</w:instrText>
      </w:r>
    </w:p>
    <w:p w:rsidP="004777F1">
      <w:pPr>
        <w:ind w:left="540" w:hanging="180"/>
        <w:rPr>
          <w:rFonts w:ascii="Garamond" w:hAnsi="Garamond"/>
          <w:sz w:val="22"/>
          <w:szCs w:val="22"/>
        </w:rPr>
      </w:pPr>
      <w:r>
        <w:rPr>
          <w:rFonts w:ascii="Garamond" w:hAnsi="Garamond"/>
          <w:sz w:val="22"/>
          <w:szCs w:val="22"/>
        </w:rPr>
        <w:instrText>3 Evaluate key updates in the 2024–2025 clinical practice guidelines for the diagnosis and management of H. pylori infection.</w:instrText>
      </w:r>
    </w:p>
    <w:p w:rsidP="004777F1">
      <w:pPr>
        <w:ind w:left="540" w:hanging="180"/>
        <w:rPr>
          <w:rFonts w:ascii="Garamond" w:hAnsi="Garamond"/>
          <w:sz w:val="22"/>
          <w:szCs w:val="22"/>
        </w:rPr>
      </w:pPr>
      <w:r>
        <w:rPr>
          <w:rFonts w:ascii="Garamond" w:hAnsi="Garamond"/>
          <w:sz w:val="22"/>
          <w:szCs w:val="22"/>
        </w:rPr>
        <w:instrText xml:space="preserve">4 Analyze the current evidence on H. pylori diagnosis and treatment, including testing strategies, treatment indications, eradication regimens, and the impact of antimicrobial resistance. </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Explain the epidemiology and modes of transmission of H. pylori infection, including factors contributing to its worldwide prevalence and the rationale for individualized treatment.</w:t>
      </w:r>
    </w:p>
    <w:p w:rsidP="004777F1">
      <w:pPr>
        <w:ind w:left="540" w:hanging="180"/>
        <w:rPr>
          <w:rFonts w:ascii="Garamond" w:hAnsi="Garamond"/>
          <w:sz w:val="22"/>
          <w:szCs w:val="22"/>
        </w:rPr>
      </w:pPr>
      <w:r>
        <w:rPr>
          <w:rFonts w:ascii="Garamond" w:hAnsi="Garamond"/>
          <w:sz w:val="22"/>
          <w:szCs w:val="22"/>
        </w:rPr>
        <w:t>2 Describe the gastroduodenal diseases and clinical conditions associated with H. pylori infection.</w:t>
      </w:r>
    </w:p>
    <w:p w:rsidP="004777F1">
      <w:pPr>
        <w:ind w:left="540" w:hanging="180"/>
        <w:rPr>
          <w:rFonts w:ascii="Garamond" w:hAnsi="Garamond"/>
          <w:sz w:val="22"/>
          <w:szCs w:val="22"/>
        </w:rPr>
      </w:pPr>
      <w:r>
        <w:rPr>
          <w:rFonts w:ascii="Garamond" w:hAnsi="Garamond"/>
          <w:sz w:val="22"/>
          <w:szCs w:val="22"/>
        </w:rPr>
        <w:t>3 Evaluate key updates in the 2024–2025 clinical practice guidelines for the diagnosis and management of H. pylori infection.</w:t>
      </w:r>
    </w:p>
    <w:p w:rsidR="004777F1" w:rsidP="004777F1">
      <w:pPr>
        <w:ind w:left="540" w:hanging="180"/>
        <w:rPr>
          <w:rFonts w:ascii="Garamond" w:hAnsi="Garamond"/>
          <w:sz w:val="22"/>
          <w:szCs w:val="22"/>
        </w:rPr>
      </w:pPr>
      <w:r>
        <w:rPr>
          <w:rFonts w:ascii="Garamond" w:hAnsi="Garamond"/>
          <w:sz w:val="22"/>
          <w:szCs w:val="22"/>
        </w:rPr>
        <w:t xml:space="preserve">4 Analyze the current evidence on H. pylori diagnosis and treatment, including testing strategies, treatment indications, eradication regimens, and the impact of antimicrobial resistance. </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1166376931"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1689415083"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