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47951</w:instrText>
      </w:r>
      <w:r>
        <w:rPr>
          <w:rFonts w:ascii="Garamond" w:hAnsi="Garamond"/>
          <w:bCs/>
        </w:rPr>
        <w:instrText xml:space="preserve"> &lt;&gt; "" "</w:instrText>
      </w:r>
      <w:r>
        <w:rPr>
          <w:rFonts w:ascii="Garamond" w:hAnsi="Garamond"/>
          <w:bCs/>
        </w:rPr>
        <w:instrText>2026 Pediatric Grand Rounds on Demand</w:instrText>
      </w:r>
      <w:r>
        <w:rPr>
          <w:rFonts w:ascii="Garamond" w:hAnsi="Garamond"/>
          <w:bCs/>
        </w:rPr>
        <w:instrText>" "</w:instrText>
      </w: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Pr>
          <w:rFonts w:ascii="Garamond" w:hAnsi="Garamond"/>
          <w:bCs/>
        </w:rPr>
        <w:fldChar w:fldCharType="end"/>
      </w:r>
      <w:r>
        <w:rPr>
          <w:rFonts w:ascii="Garamond" w:hAnsi="Garamond"/>
          <w:bCs/>
        </w:rPr>
        <w:instrText xml:space="preserve">" </w:instrText>
      </w:r>
      <w:r>
        <w:rPr>
          <w:rFonts w:ascii="Garamond" w:hAnsi="Garamond"/>
          <w:bCs/>
        </w:rPr>
        <w:fldChar w:fldCharType="separate"/>
      </w:r>
      <w:r>
        <w:rPr>
          <w:rFonts w:ascii="Garamond" w:hAnsi="Garamond"/>
          <w:bCs/>
        </w:rPr>
        <w:t>2026 Pediatric Grand Rounds on Demand</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August 6,</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47951</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instrText>2026 PGROD - Prune Belly Syndrome and Working with Family Support Groups by Linda Baker, MD</w:instrText>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009240FE">
        <w:rPr>
          <w:rFonts w:ascii="Garamond" w:hAnsi="Garamond"/>
          <w:b/>
        </w:rPr>
        <w:t>Presentation Title:</w:t>
      </w:r>
    </w:p>
    <w:p w:rsidR="009240FE" w:rsidP="009240FE">
      <w:pPr>
        <w:pStyle w:val="ListParagraph"/>
        <w:numPr>
          <w:ilvl w:val="0"/>
          <w:numId w:val="10"/>
        </w:numPr>
        <w:rPr>
          <w:rFonts w:ascii="Garamond" w:hAnsi="Garamond"/>
          <w:bCs/>
        </w:rPr>
      </w:pPr>
      <w:r>
        <w:rPr>
          <w:rFonts w:ascii="Garamond" w:hAnsi="Garamond"/>
          <w:bCs/>
        </w:rPr>
        <w:t>2026 PGROD - Prune Belly Syndrome and Working with Family Support Groups by Linda Baker, MD</w:t>
      </w:r>
    </w:p>
    <w:p w:rsidR="009240FE" w:rsidP="009240FE">
      <w:pPr>
        <w:rPr>
          <w:rFonts w:ascii="Garamond" w:hAnsi="Garamond"/>
          <w:bCs/>
        </w:rPr>
      </w:pPr>
    </w:p>
    <w:p w:rsidRPr="009240FE" w:rsidP="00E462AF">
      <w:pPr>
        <w:rPr>
          <w:rFonts w:ascii="Garamond" w:hAnsi="Garamond"/>
          <w:bCs/>
        </w:rPr>
      </w:pP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Linda Baker,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support-Once Upon a Time Foundation - 02/25/2026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Liz Bonachea,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Debra Boyer,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- 09/30/2025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Amy Garee, NP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Hallberg,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Jenna Hatab,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Kristina Jiner,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LaLonde,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Tina Lepley,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BENJAMIN LEVINSON,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Nancy Liao,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Honoraria-Elsevier (Relationship has ended)|Honoraria-Springer - 05/14/2026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Susi Miller, MLIS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Muehl,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Leena Nahata,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support-National Institutes of Health|Consulting Fee-Worth the Wait nonprofit (Relationship has ended) - 07/29/2026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Jason Newland,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Grant or research support-Merck (Relationship has ended)|Grant or research support-Pfizer (Relationship has ended)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Kehinde Obeto,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OBrien,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Membership on Advisory Committees or Review Panels, Board Membership, etc.-iECURE|Advisor-Hemab|Consulting Fee-AstraZeneca (Relationship has ended) - 10/11/2025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Whitney Phillips,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Marcie Rehmar-Rogell,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- 09/26/2025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Matthew Sapko , Chief Pharmacy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Julia R Tibor,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List three phenotypic features of Prune Belly Syndrome, the extra-genitourinary manifestations of the disorder, and the major morbidities of the condition.</w:instrText>
      </w:r>
    </w:p>
    <w:p w:rsidR="004777F1">
      <w:pPr>
        <w:bidi w:val="0"/>
        <w:spacing w:after="280" w:afterAutospacing="1"/>
        <w:rPr>
          <w:rFonts w:ascii="Garamond" w:hAnsi="Garamond"/>
          <w:sz w:val="22"/>
          <w:szCs w:val="22"/>
        </w:rPr>
      </w:pPr>
      <w:r>
        <w:rPr>
          <w:rFonts w:ascii="Garamond" w:hAnsi="Garamond"/>
          <w:sz w:val="22"/>
          <w:szCs w:val="22"/>
        </w:rPr>
        <w:instrText>2 Summarize the goals and value of synergistic work with medical-based family support groups and discuss the possibility of applying the framework to other conditions.</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List three phenotypic features of Prune Belly Syndrome, the extra-genitourinary manifestations of the disorder, and the major morbidities of the condition.</w:instrText>
      </w:r>
    </w:p>
    <w:p w:rsidP="004777F1">
      <w:pPr>
        <w:ind w:left="540" w:hanging="180"/>
        <w:rPr>
          <w:rFonts w:ascii="Garamond" w:hAnsi="Garamond"/>
          <w:sz w:val="22"/>
          <w:szCs w:val="22"/>
        </w:rPr>
      </w:pPr>
      <w:r>
        <w:rPr>
          <w:rFonts w:ascii="Garamond" w:hAnsi="Garamond"/>
          <w:sz w:val="22"/>
          <w:szCs w:val="22"/>
        </w:rPr>
        <w:instrText>2 Summarize the goals and value of synergistic work with medical-based family support groups and discuss the possibility of applying the framework to other conditions.</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List three phenotypic features of Prune Belly Syndrome, the extra-genitourinary manifestations of the disorder, and the major morbidities of the condition.</w:t>
      </w:r>
    </w:p>
    <w:p w:rsidR="004777F1" w:rsidP="004777F1">
      <w:pPr>
        <w:ind w:left="540" w:hanging="180"/>
        <w:rPr>
          <w:rFonts w:ascii="Garamond" w:hAnsi="Garamond"/>
          <w:sz w:val="22"/>
          <w:szCs w:val="22"/>
        </w:rPr>
      </w:pPr>
      <w:r>
        <w:rPr>
          <w:rFonts w:ascii="Garamond" w:hAnsi="Garamond"/>
          <w:sz w:val="22"/>
          <w:szCs w:val="22"/>
        </w:rPr>
        <w:t>2 Summarize the goals and value of synergistic work with medical-based family support groups and discuss the possibility of applying the framework to other conditions.</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0.00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113428403"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fldChar w:fldCharType="begin"/>
      </w:r>
      <w:r w:rsidRPr="00207F0D">
        <w:rPr>
          <w:rFonts w:asciiTheme="minorHAnsi" w:hAnsiTheme="minorHAnsi"/>
          <w:sz w:val="20"/>
          <w:szCs w:val="20"/>
        </w:rPr>
        <w:instrText xml:space="preserve"> MERGEFIELD ASWBHOURSMax \# 0.00# </w:instrText>
      </w:r>
      <w:r w:rsidRPr="00207F0D">
        <w:rPr>
          <w:rFonts w:asciiTheme="minorHAnsi" w:hAnsiTheme="minorHAnsi"/>
          <w:sz w:val="20"/>
          <w:szCs w:val="20"/>
        </w:rPr>
        <w:fldChar w:fldCharType="separate"/>
      </w:r>
      <w:r w:rsidRPr="00207F0D">
        <w:rPr>
          <w:rFonts w:asciiTheme="minorHAnsi" w:hAnsiTheme="minorHAnsi"/>
          <w:noProof/>
          <w:sz w:val="20"/>
          <w:szCs w:val="20"/>
        </w:rPr>
        <w:instrText>«ASWBHOURSMax»</w:instrText>
      </w:r>
      <w:r w:rsidRPr="00207F0D">
        <w:rPr>
          <w:rFonts w:asciiTheme="minorHAnsi" w:hAnsiTheme="minorHAnsi"/>
          <w:sz w:val="20"/>
          <w:szCs w:val="20"/>
        </w:rPr>
        <w:fldChar w:fldCharType="end"/>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1070558255"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