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July 2,</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Anesthesiologist Impact Beyond the Operating Room: Perioperative Systems, Prevention, and Equity by Vanessa Ng, MD and Brittany Willer, MD</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Anesthesiologist Impact Beyond the Operating Room: Perioperative Systems, Prevention, and Equity by Vanessa Ng, MD and Brittany Willer, MD</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Vanessa Ng,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Brittany Willer,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- 05/06/2026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Summarize recent epidemiologic evidence describing drivers of pediatric day-of-surgery cancellations and their implications for access to surgical care.</w:instrText>
      </w:r>
    </w:p>
    <w:p w:rsidR="004777F1">
      <w:pPr>
        <w:bidi w:val="0"/>
        <w:spacing w:after="280" w:afterAutospacing="1"/>
        <w:rPr>
          <w:rFonts w:ascii="Garamond" w:hAnsi="Garamond"/>
          <w:sz w:val="22"/>
          <w:szCs w:val="22"/>
        </w:rPr>
      </w:pPr>
      <w:r>
        <w:rPr>
          <w:rFonts w:ascii="Garamond" w:hAnsi="Garamond"/>
          <w:sz w:val="22"/>
          <w:szCs w:val="22"/>
        </w:rPr>
        <w:instrText>2 Interpret data demonstrating how structural and social risk factors influence perioperative access, efficiency, and equity.</w:instrText>
      </w:r>
    </w:p>
    <w:p w:rsidR="004777F1">
      <w:pPr>
        <w:bidi w:val="0"/>
        <w:spacing w:after="280" w:afterAutospacing="1"/>
        <w:rPr>
          <w:rFonts w:ascii="Garamond" w:hAnsi="Garamond"/>
          <w:sz w:val="22"/>
          <w:szCs w:val="22"/>
        </w:rPr>
      </w:pPr>
      <w:r>
        <w:rPr>
          <w:rFonts w:ascii="Garamond" w:hAnsi="Garamond"/>
          <w:sz w:val="22"/>
          <w:szCs w:val="22"/>
        </w:rPr>
        <w:instrText>3 Describe the evidence supporting perioperative firearm injury prevention and counseling as a feasible, scalable extension of pediatric preventive care.</w:instrText>
      </w:r>
    </w:p>
    <w:p w:rsidR="004777F1">
      <w:pPr>
        <w:bidi w:val="0"/>
        <w:spacing w:after="280" w:afterAutospacing="1"/>
        <w:rPr>
          <w:rFonts w:ascii="Garamond" w:hAnsi="Garamond"/>
          <w:sz w:val="22"/>
          <w:szCs w:val="22"/>
        </w:rPr>
      </w:pPr>
      <w:r>
        <w:rPr>
          <w:rFonts w:ascii="Garamond" w:hAnsi="Garamond"/>
          <w:sz w:val="22"/>
          <w:szCs w:val="22"/>
        </w:rPr>
        <w:instrText>4 Recognize the role of anesthesiologists and interdisciplinary perioperative teams in advancing prevention, access, and health equity beyond the operating room.</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Summarize recent epidemiologic evidence describing drivers of pediatric day-of-surgery cancellations and their implications for access to surgical care.</w:instrText>
      </w:r>
    </w:p>
    <w:p w:rsidP="004777F1">
      <w:pPr>
        <w:ind w:left="540" w:hanging="180"/>
        <w:rPr>
          <w:rFonts w:ascii="Garamond" w:hAnsi="Garamond"/>
          <w:sz w:val="22"/>
          <w:szCs w:val="22"/>
        </w:rPr>
      </w:pPr>
      <w:r>
        <w:rPr>
          <w:rFonts w:ascii="Garamond" w:hAnsi="Garamond"/>
          <w:sz w:val="22"/>
          <w:szCs w:val="22"/>
        </w:rPr>
        <w:instrText>2 Interpret data demonstrating how structural and social risk factors influence perioperative access, efficiency, and equity.</w:instrText>
      </w:r>
    </w:p>
    <w:p w:rsidP="004777F1">
      <w:pPr>
        <w:ind w:left="540" w:hanging="180"/>
        <w:rPr>
          <w:rFonts w:ascii="Garamond" w:hAnsi="Garamond"/>
          <w:sz w:val="22"/>
          <w:szCs w:val="22"/>
        </w:rPr>
      </w:pPr>
      <w:r>
        <w:rPr>
          <w:rFonts w:ascii="Garamond" w:hAnsi="Garamond"/>
          <w:sz w:val="22"/>
          <w:szCs w:val="22"/>
        </w:rPr>
        <w:instrText>3 Describe the evidence supporting perioperative firearm injury prevention and counseling as a feasible, scalable extension of pediatric preventive care.</w:instrText>
      </w:r>
    </w:p>
    <w:p w:rsidP="004777F1">
      <w:pPr>
        <w:ind w:left="540" w:hanging="180"/>
        <w:rPr>
          <w:rFonts w:ascii="Garamond" w:hAnsi="Garamond"/>
          <w:sz w:val="22"/>
          <w:szCs w:val="22"/>
        </w:rPr>
      </w:pPr>
      <w:r>
        <w:rPr>
          <w:rFonts w:ascii="Garamond" w:hAnsi="Garamond"/>
          <w:sz w:val="22"/>
          <w:szCs w:val="22"/>
        </w:rPr>
        <w:instrText>4 Recognize the role of anesthesiologists and interdisciplinary perioperative teams in advancing prevention, access, and health equity beyond the operating room.</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Summarize recent epidemiologic evidence describing drivers of pediatric day-of-surgery cancellations and their implications for access to surgical care.</w:t>
      </w:r>
    </w:p>
    <w:p w:rsidP="004777F1">
      <w:pPr>
        <w:ind w:left="540" w:hanging="180"/>
        <w:rPr>
          <w:rFonts w:ascii="Garamond" w:hAnsi="Garamond"/>
          <w:sz w:val="22"/>
          <w:szCs w:val="22"/>
        </w:rPr>
      </w:pPr>
      <w:r>
        <w:rPr>
          <w:rFonts w:ascii="Garamond" w:hAnsi="Garamond"/>
          <w:sz w:val="22"/>
          <w:szCs w:val="22"/>
        </w:rPr>
        <w:t>2 Interpret data demonstrating how structural and social risk factors influence perioperative access, efficiency, and equity.</w:t>
      </w:r>
    </w:p>
    <w:p w:rsidP="004777F1">
      <w:pPr>
        <w:ind w:left="540" w:hanging="180"/>
        <w:rPr>
          <w:rFonts w:ascii="Garamond" w:hAnsi="Garamond"/>
          <w:sz w:val="22"/>
          <w:szCs w:val="22"/>
        </w:rPr>
      </w:pPr>
      <w:r>
        <w:rPr>
          <w:rFonts w:ascii="Garamond" w:hAnsi="Garamond"/>
          <w:sz w:val="22"/>
          <w:szCs w:val="22"/>
        </w:rPr>
        <w:t>3 Describe the evidence supporting perioperative firearm injury prevention and counseling as a feasible, scalable extension of pediatric preventive care.</w:t>
      </w:r>
    </w:p>
    <w:p w:rsidR="004777F1" w:rsidP="004777F1">
      <w:pPr>
        <w:ind w:left="540" w:hanging="180"/>
        <w:rPr>
          <w:rFonts w:ascii="Garamond" w:hAnsi="Garamond"/>
          <w:sz w:val="22"/>
          <w:szCs w:val="22"/>
        </w:rPr>
      </w:pPr>
      <w:r>
        <w:rPr>
          <w:rFonts w:ascii="Garamond" w:hAnsi="Garamond"/>
          <w:sz w:val="22"/>
          <w:szCs w:val="22"/>
        </w:rPr>
        <w:t>4 Recognize the role of anesthesiologists and interdisciplinary perioperative teams in advancing prevention, access, and health equity beyond the operating room.</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283017282"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1351237852"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