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w:instrText>
      </w:r>
      <w:r>
        <w:rPr>
          <w:rFonts w:ascii="Garamond" w:hAnsi="Garamond"/>
          <w:bCs/>
        </w:rPr>
        <w:instrText>"</w:instrText>
      </w:r>
      <w:r>
        <w:rPr>
          <w:rFonts w:ascii="Garamond" w:hAnsi="Garamond"/>
          <w:bCs/>
        </w:rPr>
        <w:instrText xml:space="preserve"> &lt;&gt; "" "</w:instrText>
      </w:r>
      <w:r>
        <w:rPr>
          <w:rFonts w:ascii="Garamond" w:hAnsi="Garamond"/>
          <w:bCs/>
        </w:rPr>
        <w:fldChar w:fldCharType="begin"/>
      </w:r>
      <w:r>
        <w:rPr>
          <w:rFonts w:ascii="Garamond" w:hAnsi="Garamond"/>
          <w:bCs/>
        </w:rPr>
        <w:instrText xml:space="preserve"> MERGEFIELD ParentName </w:instrText>
      </w:r>
      <w:r>
        <w:rPr>
          <w:rFonts w:ascii="Garamond" w:hAnsi="Garamond"/>
          <w:bCs/>
        </w:rPr>
        <w:fldChar w:fldCharType="separate"/>
      </w:r>
      <w:r w:rsidR="00443EE9">
        <w:rPr>
          <w:rFonts w:ascii="Garamond" w:hAnsi="Garamond"/>
          <w:bCs/>
          <w:noProof/>
        </w:rPr>
        <w:instrText>«ParentName»</w:instrText>
      </w:r>
      <w:r>
        <w:rPr>
          <w:rFonts w:ascii="Garamond" w:hAnsi="Garamond"/>
          <w:bCs/>
        </w:rPr>
        <w:fldChar w:fldCharType="end"/>
      </w:r>
      <w:r>
        <w:rPr>
          <w:rFonts w:ascii="Garamond" w:hAnsi="Garamond"/>
          <w:bCs/>
        </w:rPr>
        <w:instrText>" "</w:instrText>
      </w:r>
      <w:r>
        <w:rPr>
          <w:rFonts w:ascii="Garamond" w:hAnsi="Garamond"/>
          <w:bCs/>
        </w:rPr>
        <w:instrText xml:space="preserve">PediaCast CME 122 - Epstein-Barr Virus: Diagnosis, Management, and Return to Play </w:instrText>
      </w:r>
      <w:r>
        <w:rPr>
          <w:rFonts w:ascii="Garamond" w:hAnsi="Garamond"/>
          <w:bCs/>
        </w:rPr>
        <w:instrText xml:space="preserve">" </w:instrText>
      </w:r>
      <w:r>
        <w:rPr>
          <w:rFonts w:ascii="Garamond" w:hAnsi="Garamond"/>
          <w:bCs/>
        </w:rPr>
        <w:fldChar w:fldCharType="separate"/>
      </w:r>
      <w:r>
        <w:rPr>
          <w:rFonts w:ascii="Garamond" w:hAnsi="Garamond"/>
          <w:bCs/>
        </w:rPr>
        <w:t xml:space="preserve">PediaCast CME 122 - Epstein-Barr Virus: Diagnosis, Management, and Return to Play </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July 28,</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w:instrText>
      </w:r>
      <w:r w:rsidRPr="00FF34C0">
        <w:rPr>
          <w:rFonts w:ascii="Garamond" w:hAnsi="Garamond"/>
          <w:bCs/>
          <w:sz w:val="22"/>
          <w:szCs w:val="22"/>
        </w:rPr>
        <w:instrText>"</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sidR="00443EE9">
        <w:rPr>
          <w:rFonts w:ascii="Garamond" w:hAnsi="Garamond"/>
          <w:bCs/>
          <w:noProof/>
        </w:rPr>
        <w:instrText>«EventName»</w:instrText>
      </w:r>
      <w:r>
        <w:rPr>
          <w:rFonts w:ascii="Garamond" w:hAnsi="Garamond"/>
          <w:bCs/>
        </w:rPr>
        <w:fldChar w:fldCharType="end"/>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Patrick,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- 10/13/2025</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Describe the virology, transmission, and natural history of Epstein-Barr virus infection.</w:instrText>
      </w:r>
    </w:p>
    <w:p w:rsidR="004777F1">
      <w:pPr>
        <w:bidi w:val="0"/>
        <w:spacing w:after="280" w:afterAutospacing="1"/>
        <w:rPr>
          <w:rFonts w:ascii="Garamond" w:hAnsi="Garamond"/>
          <w:sz w:val="22"/>
          <w:szCs w:val="22"/>
        </w:rPr>
      </w:pPr>
      <w:r>
        <w:rPr>
          <w:rFonts w:ascii="Garamond" w:hAnsi="Garamond"/>
          <w:sz w:val="22"/>
          <w:szCs w:val="22"/>
        </w:rPr>
        <w:instrText>2 Interpret common laboratory studies, including heterophile antibody testing and EBV-specific serologies.</w:instrText>
      </w:r>
    </w:p>
    <w:p w:rsidR="004777F1">
      <w:pPr>
        <w:bidi w:val="0"/>
        <w:spacing w:after="280" w:afterAutospacing="1"/>
        <w:rPr>
          <w:rFonts w:ascii="Garamond" w:hAnsi="Garamond"/>
          <w:sz w:val="22"/>
          <w:szCs w:val="22"/>
        </w:rPr>
      </w:pPr>
      <w:r>
        <w:rPr>
          <w:rFonts w:ascii="Garamond" w:hAnsi="Garamond"/>
          <w:sz w:val="22"/>
          <w:szCs w:val="22"/>
        </w:rPr>
        <w:instrText>3 Differentiate uncomplicated infectious mononucleosis from important complications requiring additional evaluation or intervention.</w:instrText>
      </w:r>
    </w:p>
    <w:p w:rsidR="004777F1">
      <w:pPr>
        <w:bidi w:val="0"/>
        <w:spacing w:after="280" w:afterAutospacing="1"/>
        <w:rPr>
          <w:rFonts w:ascii="Garamond" w:hAnsi="Garamond"/>
          <w:sz w:val="22"/>
          <w:szCs w:val="22"/>
        </w:rPr>
      </w:pPr>
      <w:r>
        <w:rPr>
          <w:rFonts w:ascii="Garamond" w:hAnsi="Garamond"/>
          <w:sz w:val="22"/>
          <w:szCs w:val="22"/>
        </w:rPr>
        <w:instrText>4 Apply evidence-based recommendations for management, corticosteroid use, and return-to-play counseling.</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Describe the virology, transmission, and natural history of Epstein-Barr virus infection.</w:instrText>
      </w:r>
    </w:p>
    <w:p w:rsidP="004777F1">
      <w:pPr>
        <w:ind w:left="540" w:hanging="180"/>
        <w:rPr>
          <w:rFonts w:ascii="Garamond" w:hAnsi="Garamond"/>
          <w:sz w:val="22"/>
          <w:szCs w:val="22"/>
        </w:rPr>
      </w:pPr>
      <w:r>
        <w:rPr>
          <w:rFonts w:ascii="Garamond" w:hAnsi="Garamond"/>
          <w:sz w:val="22"/>
          <w:szCs w:val="22"/>
        </w:rPr>
        <w:instrText>2 Interpret common laboratory studies, including heterophile antibody testing and EBV-specific serologies.</w:instrText>
      </w:r>
    </w:p>
    <w:p w:rsidP="004777F1">
      <w:pPr>
        <w:ind w:left="540" w:hanging="180"/>
        <w:rPr>
          <w:rFonts w:ascii="Garamond" w:hAnsi="Garamond"/>
          <w:sz w:val="22"/>
          <w:szCs w:val="22"/>
        </w:rPr>
      </w:pPr>
      <w:r>
        <w:rPr>
          <w:rFonts w:ascii="Garamond" w:hAnsi="Garamond"/>
          <w:sz w:val="22"/>
          <w:szCs w:val="22"/>
        </w:rPr>
        <w:instrText>3 Differentiate uncomplicated infectious mononucleosis from important complications requiring additional evaluation or intervention.</w:instrText>
      </w:r>
    </w:p>
    <w:p w:rsidP="004777F1">
      <w:pPr>
        <w:ind w:left="540" w:hanging="180"/>
        <w:rPr>
          <w:rFonts w:ascii="Garamond" w:hAnsi="Garamond"/>
          <w:sz w:val="22"/>
          <w:szCs w:val="22"/>
        </w:rPr>
      </w:pPr>
      <w:r>
        <w:rPr>
          <w:rFonts w:ascii="Garamond" w:hAnsi="Garamond"/>
          <w:sz w:val="22"/>
          <w:szCs w:val="22"/>
        </w:rPr>
        <w:instrText>4 Apply evidence-based recommendations for management, corticosteroid use, and return-to-play counseling.</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Describe the virology, transmission, and natural history of Epstein-Barr virus infection.</w:t>
      </w:r>
    </w:p>
    <w:p w:rsidP="004777F1">
      <w:pPr>
        <w:ind w:left="540" w:hanging="180"/>
        <w:rPr>
          <w:rFonts w:ascii="Garamond" w:hAnsi="Garamond"/>
          <w:sz w:val="22"/>
          <w:szCs w:val="22"/>
        </w:rPr>
      </w:pPr>
      <w:r>
        <w:rPr>
          <w:rFonts w:ascii="Garamond" w:hAnsi="Garamond"/>
          <w:sz w:val="22"/>
          <w:szCs w:val="22"/>
        </w:rPr>
        <w:t>2 Interpret common laboratory studies, including heterophile antibody testing and EBV-specific serologies.</w:t>
      </w:r>
    </w:p>
    <w:p w:rsidP="004777F1">
      <w:pPr>
        <w:ind w:left="540" w:hanging="180"/>
        <w:rPr>
          <w:rFonts w:ascii="Garamond" w:hAnsi="Garamond"/>
          <w:sz w:val="22"/>
          <w:szCs w:val="22"/>
        </w:rPr>
      </w:pPr>
      <w:r>
        <w:rPr>
          <w:rFonts w:ascii="Garamond" w:hAnsi="Garamond"/>
          <w:sz w:val="22"/>
          <w:szCs w:val="22"/>
        </w:rPr>
        <w:t>3 Differentiate uncomplicated infectious mononucleosis from important complications requiring additional evaluation or intervention.</w:t>
      </w:r>
    </w:p>
    <w:p w:rsidR="004777F1" w:rsidP="004777F1">
      <w:pPr>
        <w:ind w:left="540" w:hanging="180"/>
        <w:rPr>
          <w:rFonts w:ascii="Garamond" w:hAnsi="Garamond"/>
          <w:sz w:val="22"/>
          <w:szCs w:val="22"/>
        </w:rPr>
      </w:pPr>
      <w:r>
        <w:rPr>
          <w:rFonts w:ascii="Garamond" w:hAnsi="Garamond"/>
          <w:sz w:val="22"/>
          <w:szCs w:val="22"/>
        </w:rPr>
        <w:t>4 Apply evidence-based recommendations for management, corticosteroid use, and return-to-play counseling.</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70528"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ACPE contact hour(s)) " "" </w:instrText>
      </w:r>
      <w:r>
        <w:rPr>
          <w:sz w:val="20"/>
          <w:szCs w:val="20"/>
        </w:rPr>
        <w:fldChar w:fldCharType="separate"/>
      </w:r>
      <w:r>
        <w:rPr>
          <w:sz w:val="20"/>
          <w:szCs w:val="20"/>
        </w:rPr>
        <w:t>(</w:t>
      </w:r>
      <w:r>
        <w:rPr>
          <w:sz w:val="20"/>
          <w:szCs w:val="20"/>
        </w:rPr>
        <w:t>1.00</w:t>
      </w:r>
      <w:r>
        <w:rPr>
          <w:sz w:val="20"/>
          <w:szCs w:val="20"/>
        </w:rPr>
        <w:t xml:space="preserve"> ACPE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1.00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instrText>1.00</w:instrText>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60288"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1833562972"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t xml:space="preserve">This activity was planned by and for the healthcare team, and learners will receive </w:t>
      </w:r>
      <w:r w:rsidRPr="00207F0D">
        <w:rPr>
          <w:noProof/>
          <w:sz w:val="20"/>
        </w:rPr>
        <w:t>1.00</w:t>
      </w:r>
      <w:r w:rsidRPr="00207F0D">
        <w:rPr>
          <w:noProof/>
          <w:sz w:val="20"/>
        </w:rPr>
        <w:t xml:space="preserve"> Interprofessional Continuing Education (IPCE) credit(s) for learning and change.</w:t>
      </w:r>
    </w:p>
    <w:p w:rsidR="009F7D61" w:rsidP="00EA24D0">
      <w:pPr>
        <w:rPr>
          <w:noProof/>
          <w:sz w:val="20"/>
        </w:rPr>
      </w:pPr>
    </w:p>
    <w:p w:rsidRPr="00207F0D" w:rsidP="00EA24D0">
      <w:pPr>
        <w:rPr>
          <w:noProof/>
          <w:sz w:val="20"/>
        </w:rPr>
      </w:pP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750579844"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instrText>1.00</w:instrText>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46916459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t>
      </w:r>
      <w:r w:rsidRPr="00207F0D">
        <w:rPr>
          <w:rFonts w:asciiTheme="minorHAnsi" w:hAnsiTheme="minorHAnsi"/>
          <w:sz w:val="20"/>
          <w:szCs w:val="20"/>
        </w:rPr>
        <w:t>1.00</w:t>
      </w:r>
      <w:r w:rsidRPr="00207F0D">
        <w:rPr>
          <w:rFonts w:asciiTheme="minorHAnsi" w:hAnsiTheme="minorHAnsi"/>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2019637352"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9504"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