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47951</w:instrText>
      </w:r>
      <w:r>
        <w:rPr>
          <w:rFonts w:ascii="Garamond" w:hAnsi="Garamond"/>
          <w:bCs/>
        </w:rPr>
        <w:instrText xml:space="preserve"> &lt;&gt; "" "</w:instrText>
      </w:r>
      <w:r>
        <w:rPr>
          <w:rFonts w:ascii="Garamond" w:hAnsi="Garamond"/>
          <w:bCs/>
        </w:rPr>
        <w:instrText>2026 Pediatric Grand Rounds on Demand</w:instrText>
      </w:r>
      <w:r>
        <w:rPr>
          <w:rFonts w:ascii="Garamond" w:hAnsi="Garamond"/>
          <w:bCs/>
        </w:rPr>
        <w:instrText>" "</w:instrText>
      </w: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Pr>
          <w:rFonts w:ascii="Garamond" w:hAnsi="Garamond"/>
          <w:bCs/>
        </w:rPr>
        <w:fldChar w:fldCharType="end"/>
      </w:r>
      <w:r>
        <w:rPr>
          <w:rFonts w:ascii="Garamond" w:hAnsi="Garamond"/>
          <w:bCs/>
        </w:rPr>
        <w:instrText xml:space="preserve">" </w:instrText>
      </w:r>
      <w:r>
        <w:rPr>
          <w:rFonts w:ascii="Garamond" w:hAnsi="Garamond"/>
          <w:bCs/>
        </w:rPr>
        <w:fldChar w:fldCharType="separate"/>
      </w:r>
      <w:r>
        <w:rPr>
          <w:rFonts w:ascii="Garamond" w:hAnsi="Garamond"/>
          <w:bCs/>
        </w:rPr>
        <w:t>2026 Pediatric Grand Rounds on Demand</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May 21,</w:t>
      </w:r>
      <w:r>
        <w:rPr>
          <w:rFonts w:ascii="Garamond" w:hAnsi="Garamond"/>
          <w:bCs/>
        </w:rPr>
        <w:t xml:space="preserve"> 2026 - 12:00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47951</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instrText>2026 PGROD - Catalyzing Opportunities in Pediatric Innovation by Cory Criss, MD</w:instrText>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009240FE">
        <w:rPr>
          <w:rFonts w:ascii="Garamond" w:hAnsi="Garamond"/>
          <w:b/>
        </w:rPr>
        <w:t>Presentation Title:</w:t>
      </w:r>
    </w:p>
    <w:p w:rsidR="009240FE" w:rsidP="009240FE">
      <w:pPr>
        <w:pStyle w:val="ListParagraph"/>
        <w:numPr>
          <w:ilvl w:val="0"/>
          <w:numId w:val="10"/>
        </w:numPr>
        <w:rPr>
          <w:rFonts w:ascii="Garamond" w:hAnsi="Garamond"/>
          <w:bCs/>
        </w:rPr>
      </w:pPr>
      <w:r>
        <w:rPr>
          <w:rFonts w:ascii="Garamond" w:hAnsi="Garamond"/>
          <w:bCs/>
        </w:rPr>
        <w:t>2026 PGROD - Catalyzing Opportunities in Pediatric Innovation by Cory Criss, MD</w:t>
      </w:r>
    </w:p>
    <w:p w:rsidR="009240FE" w:rsidP="009240FE">
      <w:pPr>
        <w:rPr>
          <w:rFonts w:ascii="Garamond" w:hAnsi="Garamond"/>
          <w:bCs/>
        </w:rPr>
      </w:pPr>
    </w:p>
    <w:p w:rsidRPr="009240FE" w:rsidP="00E462AF">
      <w:pPr>
        <w:rPr>
          <w:rFonts w:ascii="Garamond" w:hAnsi="Garamond"/>
          <w:bCs/>
        </w:rPr>
      </w:pP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Liz Bonachea,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Debra Boyer,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Cory N Criss, MD, Physician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Amy Garee, 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Hallberg,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Jenna Hatab,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Kristina Jiner,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Leah LaLonde,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Tina Lepley,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BENJAMIN LEVINSON,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Nancy Liao,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Honoraria-Elsevier (Relationship has ended)|Honoraria-Springer - 05/14/2026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Susi Miller, MLIS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Muehl,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Leena Nahata,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support-National Institutes of Health|Consulting Fee-Worth the Wait nonprofit (Relationship has ended)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Jason Newland, MD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support-Merck (Relationship has ended)|Grant or research support-Pfizer (Relationship has ended) - 06/13/2025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Kehinde Obeto,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OBrien,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etc.-iECURE|Advisor-Hemab|Consulting Fee-AstraZeneca (Relationship has ended) - 10/11/2025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Whitney Phillips,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Marcie Rehmar-Rogell,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Matthew Sapko , Chief Pharmacy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R Tibor,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- 02/02/2026</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 xml:space="preserve">1 Describe how the Innovation Center is creating a hospital-based model for pediatric innovation through structured intake, education, engineering support, and translational project development. </w:instrText>
      </w:r>
    </w:p>
    <w:p w:rsidR="004777F1">
      <w:pPr>
        <w:bidi w:val="0"/>
        <w:spacing w:after="280" w:afterAutospacing="1"/>
        <w:rPr>
          <w:rFonts w:ascii="Garamond" w:hAnsi="Garamond"/>
          <w:sz w:val="22"/>
          <w:szCs w:val="22"/>
        </w:rPr>
      </w:pPr>
      <w:r>
        <w:rPr>
          <w:rFonts w:ascii="Garamond" w:hAnsi="Garamond"/>
          <w:sz w:val="22"/>
          <w:szCs w:val="22"/>
        </w:rPr>
        <w:instrText xml:space="preserve">2 Examine how the Midwest Pediatric Device Consortium demonstrates the power of multi-institutional collaboration to address pediatric device gaps, de-risk promising technologies, and accelerate solutions for children. </w:instrText>
      </w:r>
    </w:p>
    <w:p w:rsidR="004777F1">
      <w:pPr>
        <w:bidi w:val="0"/>
        <w:spacing w:after="280" w:afterAutospacing="1"/>
        <w:rPr>
          <w:rFonts w:ascii="Garamond" w:hAnsi="Garamond"/>
          <w:sz w:val="22"/>
          <w:szCs w:val="22"/>
        </w:rPr>
      </w:pPr>
      <w:r>
        <w:rPr>
          <w:rFonts w:ascii="Garamond" w:hAnsi="Garamond"/>
          <w:sz w:val="22"/>
          <w:szCs w:val="22"/>
        </w:rPr>
        <w:instrText>3 Discuss how innovation culture can be built and sustained within a health system by aligning strategy, leadership, clinical operations, and external partnerships around a shared pediatric mission.</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 xml:space="preserve">1 Describe how the Innovation Center is creating a hospital-based model for pediatric innovation through structured intake, education, engineering support, and translational project development. </w:instrText>
      </w:r>
    </w:p>
    <w:p w:rsidP="004777F1">
      <w:pPr>
        <w:ind w:left="540" w:hanging="180"/>
        <w:rPr>
          <w:rFonts w:ascii="Garamond" w:hAnsi="Garamond"/>
          <w:sz w:val="22"/>
          <w:szCs w:val="22"/>
        </w:rPr>
      </w:pPr>
      <w:r>
        <w:rPr>
          <w:rFonts w:ascii="Garamond" w:hAnsi="Garamond"/>
          <w:sz w:val="22"/>
          <w:szCs w:val="22"/>
        </w:rPr>
        <w:instrText xml:space="preserve">2 Examine how the Midwest Pediatric Device Consortium demonstrates the power of multi-institutional collaboration to address pediatric device gaps, de-risk promising technologies, and accelerate solutions for children. </w:instrText>
      </w:r>
    </w:p>
    <w:p w:rsidP="004777F1">
      <w:pPr>
        <w:ind w:left="540" w:hanging="180"/>
        <w:rPr>
          <w:rFonts w:ascii="Garamond" w:hAnsi="Garamond"/>
          <w:sz w:val="22"/>
          <w:szCs w:val="22"/>
        </w:rPr>
      </w:pPr>
      <w:r>
        <w:rPr>
          <w:rFonts w:ascii="Garamond" w:hAnsi="Garamond"/>
          <w:sz w:val="22"/>
          <w:szCs w:val="22"/>
        </w:rPr>
        <w:instrText>3 Discuss how innovation culture can be built and sustained within a health system by aligning strategy, leadership, clinical operations, and external partnerships around a shared pediatric mission.</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 xml:space="preserve">1 Describe how the Innovation Center is creating a hospital-based model for pediatric innovation through structured intake, education, engineering support, and translational project development. </w:t>
      </w:r>
    </w:p>
    <w:p w:rsidP="004777F1">
      <w:pPr>
        <w:ind w:left="540" w:hanging="180"/>
        <w:rPr>
          <w:rFonts w:ascii="Garamond" w:hAnsi="Garamond"/>
          <w:sz w:val="22"/>
          <w:szCs w:val="22"/>
        </w:rPr>
      </w:pPr>
      <w:r>
        <w:rPr>
          <w:rFonts w:ascii="Garamond" w:hAnsi="Garamond"/>
          <w:sz w:val="22"/>
          <w:szCs w:val="22"/>
        </w:rPr>
        <w:t xml:space="preserve">2 Examine how the Midwest Pediatric Device Consortium demonstrates the power of multi-institutional collaboration to address pediatric device gaps, de-risk promising technologies, and accelerate solutions for children. </w:t>
      </w:r>
    </w:p>
    <w:p w:rsidR="004777F1" w:rsidP="004777F1">
      <w:pPr>
        <w:ind w:left="540" w:hanging="180"/>
        <w:rPr>
          <w:rFonts w:ascii="Garamond" w:hAnsi="Garamond"/>
          <w:sz w:val="22"/>
          <w:szCs w:val="22"/>
        </w:rPr>
      </w:pPr>
      <w:r>
        <w:rPr>
          <w:rFonts w:ascii="Garamond" w:hAnsi="Garamond"/>
          <w:sz w:val="22"/>
          <w:szCs w:val="22"/>
        </w:rPr>
        <w:t>3 Discuss how innovation culture can be built and sustained within a health system by aligning strategy, leadership, clinical operations, and external partnerships around a shared pediatric mission.</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ACPEHoursMax \# 0.00# </w:instrText>
      </w:r>
      <w:r>
        <w:rPr>
          <w:sz w:val="20"/>
          <w:szCs w:val="20"/>
        </w:rPr>
        <w:fldChar w:fldCharType="separate"/>
      </w:r>
      <w:r>
        <w:rPr>
          <w:sz w:val="20"/>
          <w:szCs w:val="20"/>
        </w:rPr>
        <w:fldChar w:fldCharType="end"/>
      </w:r>
      <w:r>
        <w:rPr>
          <w:sz w:val="20"/>
          <w:szCs w:val="20"/>
        </w:rPr>
        <w:instrText xml:space="preserve"> ACPE contact hour(s)) "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0.00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fldChar w:fldCharType="begin"/>
      </w:r>
      <w:r w:rsidRPr="00207F0D">
        <w:rPr>
          <w:noProof/>
          <w:sz w:val="20"/>
        </w:rPr>
        <w:instrText xml:space="preserve"> MERGEFIELD IPCEHoursMax \# 0.00# </w:instrText>
      </w:r>
      <w:r w:rsidRPr="00207F0D">
        <w:rPr>
          <w:noProof/>
          <w:sz w:val="20"/>
        </w:rPr>
        <w:fldChar w:fldCharType="separate"/>
      </w:r>
      <w:r w:rsidRPr="00207F0D">
        <w:rPr>
          <w:noProof/>
          <w:sz w:val="20"/>
        </w:rPr>
        <w:instrText>«IPCEHoursMax»</w:instrText>
      </w:r>
      <w:r w:rsidRPr="00207F0D">
        <w:rPr>
          <w:noProof/>
          <w:sz w:val="20"/>
        </w:rPr>
        <w:fldChar w:fldCharType="end"/>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1.00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p>
    <w:p w:rsidR="00EA24D0" w:rsidRPr="00207F0D" w:rsidP="00EA24D0">
      <w:pPr>
        <w:rPr>
          <w:noProof/>
          <w:sz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771623482"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t xml:space="preserve">Nationwide Children's Hospital has been authorized by the American Academy of PAs (AAPA) to award AAPA Category 1 CME credit for activities planned in accordance with AAPA CME Criteria. This activity is designated for </w:t>
      </w:r>
      <w:r w:rsidRPr="00207F0D">
        <w:rPr>
          <w:rFonts w:asciiTheme="minorHAnsi" w:hAnsiTheme="minorHAnsi"/>
          <w:noProof/>
          <w:sz w:val="20"/>
          <w:szCs w:val="20"/>
        </w:rPr>
        <w:t>1.00</w:t>
      </w:r>
      <w:r w:rsidRPr="00207F0D">
        <w:rPr>
          <w:rFonts w:asciiTheme="minorHAnsi" w:hAnsiTheme="minorHAnsi"/>
          <w:noProof/>
          <w:sz w:val="20"/>
          <w:szCs w:val="20"/>
        </w:rPr>
        <w:t xml:space="preserve"> AAPA Category 1 CME credit(s). Approval is valid for 2 years from the date of the activity. PAs should only claim credit commensurate with the extent of their participation.</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fldChar w:fldCharType="begin"/>
      </w:r>
      <w:r w:rsidRPr="00207F0D">
        <w:rPr>
          <w:rFonts w:asciiTheme="minorHAnsi" w:hAnsiTheme="minorHAnsi"/>
          <w:sz w:val="20"/>
          <w:szCs w:val="20"/>
        </w:rPr>
        <w:instrText xml:space="preserve"> MERGEFIELD ASWBHOURSMax \# 0.00# </w:instrText>
      </w:r>
      <w:r w:rsidRPr="00207F0D">
        <w:rPr>
          <w:rFonts w:asciiTheme="minorHAnsi" w:hAnsiTheme="minorHAnsi"/>
          <w:sz w:val="20"/>
          <w:szCs w:val="20"/>
        </w:rPr>
        <w:fldChar w:fldCharType="separate"/>
      </w:r>
      <w:r w:rsidRPr="00207F0D">
        <w:rPr>
          <w:rFonts w:asciiTheme="minorHAnsi" w:hAnsiTheme="minorHAnsi"/>
          <w:noProof/>
          <w:sz w:val="20"/>
          <w:szCs w:val="20"/>
        </w:rPr>
        <w:instrText>«ASWBHOURSMax»</w:instrText>
      </w:r>
      <w:r w:rsidRPr="00207F0D">
        <w:rPr>
          <w:rFonts w:asciiTheme="minorHAnsi" w:hAnsiTheme="minorHAnsi"/>
          <w:sz w:val="20"/>
          <w:szCs w:val="20"/>
        </w:rPr>
        <w:fldChar w:fldCharType="end"/>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518165075"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