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14,</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The Clinical Use of Platelets: Guidelines and Considerations for Pediatric Populations by Ryan Metcalf, MD, CQA</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The Clinical Use of Platelets: Guidelines and Considerations for Pediatric Populations by Ryan Metcalf, MD, CQA</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Metcalf, MD, CQA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etc.-Cerus Corporation|Membership on Advisory Committees or Review Panels, Board Membership, etc.-Werfen (Relationship has ended)|Grant or research support-Werfen (Relationship has ended)|Grant or research support-Octapharma (Relationship has ended)|Grant or research support-Haemonetics (Relationship has ended)|Grant or research support-Hemosonics (Relationship has ended)|Royalties or Patent Beneficiary-UpToDate - 05/06/2026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Jason Newland,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rationale for platelet transfusion, considering potential benefits and harms.</w:instrText>
      </w:r>
    </w:p>
    <w:p w:rsidR="004777F1">
      <w:pPr>
        <w:bidi w:val="0"/>
        <w:spacing w:after="280" w:afterAutospacing="1"/>
        <w:rPr>
          <w:rFonts w:ascii="Garamond" w:hAnsi="Garamond"/>
          <w:sz w:val="22"/>
          <w:szCs w:val="22"/>
        </w:rPr>
      </w:pPr>
      <w:r>
        <w:rPr>
          <w:rFonts w:ascii="Garamond" w:hAnsi="Garamond"/>
          <w:sz w:val="22"/>
          <w:szCs w:val="22"/>
        </w:rPr>
        <w:instrText>2 Discuss the impact of restrictive versus liberal platelet transfusion strategies on patient outcomes.</w:instrText>
      </w:r>
    </w:p>
    <w:p w:rsidR="004777F1">
      <w:pPr>
        <w:bidi w:val="0"/>
        <w:spacing w:after="280" w:afterAutospacing="1"/>
        <w:rPr>
          <w:rFonts w:ascii="Garamond" w:hAnsi="Garamond"/>
          <w:sz w:val="22"/>
          <w:szCs w:val="22"/>
        </w:rPr>
      </w:pPr>
      <w:r>
        <w:rPr>
          <w:rFonts w:ascii="Garamond" w:hAnsi="Garamond"/>
          <w:sz w:val="22"/>
          <w:szCs w:val="22"/>
        </w:rPr>
        <w:instrText>3 Evaluate evidence-based guidelines for the clinical use of platelets and implications for pediatric populations.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rationale for platelet transfusion, considering potential benefits and harms.</w:instrText>
      </w:r>
    </w:p>
    <w:p w:rsidP="004777F1">
      <w:pPr>
        <w:ind w:left="540" w:hanging="180"/>
        <w:rPr>
          <w:rFonts w:ascii="Garamond" w:hAnsi="Garamond"/>
          <w:sz w:val="22"/>
          <w:szCs w:val="22"/>
        </w:rPr>
      </w:pPr>
      <w:r>
        <w:rPr>
          <w:rFonts w:ascii="Garamond" w:hAnsi="Garamond"/>
          <w:sz w:val="22"/>
          <w:szCs w:val="22"/>
        </w:rPr>
        <w:instrText>2 Discuss the impact of restrictive versus liberal platelet transfusion strategies on patient outcomes.</w:instrText>
      </w:r>
    </w:p>
    <w:p w:rsidP="004777F1">
      <w:pPr>
        <w:ind w:left="540" w:hanging="180"/>
        <w:rPr>
          <w:rFonts w:ascii="Garamond" w:hAnsi="Garamond"/>
          <w:sz w:val="22"/>
          <w:szCs w:val="22"/>
        </w:rPr>
      </w:pPr>
      <w:r>
        <w:rPr>
          <w:rFonts w:ascii="Garamond" w:hAnsi="Garamond"/>
          <w:sz w:val="22"/>
          <w:szCs w:val="22"/>
        </w:rPr>
        <w:instrText>3 Evaluate evidence-based guidelines for the clinical use of platelets and implications for pediatric populations.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rationale for platelet transfusion, considering potential benefits and harms.</w:t>
      </w:r>
    </w:p>
    <w:p w:rsidP="004777F1">
      <w:pPr>
        <w:ind w:left="540" w:hanging="180"/>
        <w:rPr>
          <w:rFonts w:ascii="Garamond" w:hAnsi="Garamond"/>
          <w:sz w:val="22"/>
          <w:szCs w:val="22"/>
        </w:rPr>
      </w:pPr>
      <w:r>
        <w:rPr>
          <w:rFonts w:ascii="Garamond" w:hAnsi="Garamond"/>
          <w:sz w:val="22"/>
          <w:szCs w:val="22"/>
        </w:rPr>
        <w:t>2 Discuss the impact of restrictive versus liberal platelet transfusion strategies on patient outcomes.</w:t>
      </w:r>
    </w:p>
    <w:p w:rsidR="004777F1" w:rsidP="004777F1">
      <w:pPr>
        <w:ind w:left="540" w:hanging="180"/>
        <w:rPr>
          <w:rFonts w:ascii="Garamond" w:hAnsi="Garamond"/>
          <w:sz w:val="22"/>
          <w:szCs w:val="22"/>
        </w:rPr>
      </w:pPr>
      <w:r>
        <w:rPr>
          <w:rFonts w:ascii="Garamond" w:hAnsi="Garamond"/>
          <w:sz w:val="22"/>
          <w:szCs w:val="22"/>
        </w:rPr>
        <w:t>3 Evaluate evidence-based guidelines for the clinical use of platelets and implications for pediatric populations.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7964830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447376480"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