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7,</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Ice, Ice Baby: A Review of the Literature on Young Infants with Hypothermia by Vignesh Doraiswamy, MD and Kathryn Westphal,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Ice, Ice Baby: A Review of the Literature on Young Infants with Hypothermia by Vignesh Doraiswamy, MD and Kathryn Westphal,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Vignesh Doraiswamy,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Jason Newland,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Westphal,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common infectious and noninfectious etiologies of hypothermia in young infants presenting for care after the birth hospitalization.</w:instrText>
      </w:r>
    </w:p>
    <w:p w:rsidR="004777F1">
      <w:pPr>
        <w:bidi w:val="0"/>
        <w:spacing w:after="280" w:afterAutospacing="1"/>
        <w:rPr>
          <w:rFonts w:ascii="Garamond" w:hAnsi="Garamond"/>
          <w:sz w:val="22"/>
          <w:szCs w:val="22"/>
        </w:rPr>
      </w:pPr>
      <w:r>
        <w:rPr>
          <w:rFonts w:ascii="Garamond" w:hAnsi="Garamond"/>
          <w:sz w:val="22"/>
          <w:szCs w:val="22"/>
        </w:rPr>
        <w:instrText xml:space="preserve">2 Recognize the prevalence of serious bacterial infections (SBI) in hypothermic infants and examine limitations in current diagnostic and management strategies. </w:instrText>
      </w:r>
    </w:p>
    <w:p w:rsidR="004777F1">
      <w:pPr>
        <w:bidi w:val="0"/>
        <w:spacing w:after="280" w:afterAutospacing="1"/>
        <w:rPr>
          <w:rFonts w:ascii="Garamond" w:hAnsi="Garamond"/>
          <w:sz w:val="22"/>
          <w:szCs w:val="22"/>
        </w:rPr>
      </w:pPr>
      <w:r>
        <w:rPr>
          <w:rFonts w:ascii="Garamond" w:hAnsi="Garamond"/>
          <w:sz w:val="22"/>
          <w:szCs w:val="22"/>
        </w:rPr>
        <w:instrText xml:space="preserve">3 Assess clinical and demographic risk factors associated with SBI in hypothermic infants that may help guide clinical decision-making. </w:instrText>
      </w:r>
    </w:p>
    <w:p w:rsidR="004777F1">
      <w:pPr>
        <w:bidi w:val="0"/>
        <w:spacing w:after="280" w:afterAutospacing="1"/>
        <w:rPr>
          <w:rFonts w:ascii="Garamond" w:hAnsi="Garamond"/>
          <w:sz w:val="22"/>
          <w:szCs w:val="22"/>
        </w:rPr>
      </w:pPr>
      <w:r>
        <w:rPr>
          <w:rFonts w:ascii="Garamond" w:hAnsi="Garamond"/>
          <w:sz w:val="22"/>
          <w:szCs w:val="22"/>
        </w:rPr>
        <w:instrText>4 Construct an individualized, evidence-based management strategy for hypothermic infant, integrating current literature and patient-specific considerations.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common infectious and noninfectious etiologies of hypothermia in young infants presenting for care after the birth hospitalization.</w:instrText>
      </w:r>
    </w:p>
    <w:p w:rsidP="004777F1">
      <w:pPr>
        <w:ind w:left="540" w:hanging="180"/>
        <w:rPr>
          <w:rFonts w:ascii="Garamond" w:hAnsi="Garamond"/>
          <w:sz w:val="22"/>
          <w:szCs w:val="22"/>
        </w:rPr>
      </w:pPr>
      <w:r>
        <w:rPr>
          <w:rFonts w:ascii="Garamond" w:hAnsi="Garamond"/>
          <w:sz w:val="22"/>
          <w:szCs w:val="22"/>
        </w:rPr>
        <w:instrText xml:space="preserve">2 Recognize the prevalence of serious bacterial infections (SBI) in hypothermic infants and examine limitations in current diagnostic and management strategies. </w:instrText>
      </w:r>
    </w:p>
    <w:p w:rsidP="004777F1">
      <w:pPr>
        <w:ind w:left="540" w:hanging="180"/>
        <w:rPr>
          <w:rFonts w:ascii="Garamond" w:hAnsi="Garamond"/>
          <w:sz w:val="22"/>
          <w:szCs w:val="22"/>
        </w:rPr>
      </w:pPr>
      <w:r>
        <w:rPr>
          <w:rFonts w:ascii="Garamond" w:hAnsi="Garamond"/>
          <w:sz w:val="22"/>
          <w:szCs w:val="22"/>
        </w:rPr>
        <w:instrText xml:space="preserve">3 Assess clinical and demographic risk factors associated with SBI in hypothermic infants that may help guide clinical decision-making. </w:instrText>
      </w:r>
    </w:p>
    <w:p w:rsidP="004777F1">
      <w:pPr>
        <w:ind w:left="540" w:hanging="180"/>
        <w:rPr>
          <w:rFonts w:ascii="Garamond" w:hAnsi="Garamond"/>
          <w:sz w:val="22"/>
          <w:szCs w:val="22"/>
        </w:rPr>
      </w:pPr>
      <w:r>
        <w:rPr>
          <w:rFonts w:ascii="Garamond" w:hAnsi="Garamond"/>
          <w:sz w:val="22"/>
          <w:szCs w:val="22"/>
        </w:rPr>
        <w:instrText>4 Construct an individualized, evidence-based management strategy for hypothermic infant, integrating current literature and patient-specific considerations.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common infectious and noninfectious etiologies of hypothermia in young infants presenting for care after the birth hospitalization.</w:t>
      </w:r>
    </w:p>
    <w:p w:rsidP="004777F1">
      <w:pPr>
        <w:ind w:left="540" w:hanging="180"/>
        <w:rPr>
          <w:rFonts w:ascii="Garamond" w:hAnsi="Garamond"/>
          <w:sz w:val="22"/>
          <w:szCs w:val="22"/>
        </w:rPr>
      </w:pPr>
      <w:r>
        <w:rPr>
          <w:rFonts w:ascii="Garamond" w:hAnsi="Garamond"/>
          <w:sz w:val="22"/>
          <w:szCs w:val="22"/>
        </w:rPr>
        <w:t xml:space="preserve">2 Recognize the prevalence of serious bacterial infections (SBI) in hypothermic infants and examine limitations in current diagnostic and management strategies. </w:t>
      </w:r>
    </w:p>
    <w:p w:rsidP="004777F1">
      <w:pPr>
        <w:ind w:left="540" w:hanging="180"/>
        <w:rPr>
          <w:rFonts w:ascii="Garamond" w:hAnsi="Garamond"/>
          <w:sz w:val="22"/>
          <w:szCs w:val="22"/>
        </w:rPr>
      </w:pPr>
      <w:r>
        <w:rPr>
          <w:rFonts w:ascii="Garamond" w:hAnsi="Garamond"/>
          <w:sz w:val="22"/>
          <w:szCs w:val="22"/>
        </w:rPr>
        <w:t xml:space="preserve">3 Assess clinical and demographic risk factors associated with SBI in hypothermic infants that may help guide clinical decision-making. </w:t>
      </w:r>
    </w:p>
    <w:p w:rsidR="004777F1" w:rsidP="004777F1">
      <w:pPr>
        <w:ind w:left="540" w:hanging="180"/>
        <w:rPr>
          <w:rFonts w:ascii="Garamond" w:hAnsi="Garamond"/>
          <w:sz w:val="22"/>
          <w:szCs w:val="22"/>
        </w:rPr>
      </w:pPr>
      <w:r>
        <w:rPr>
          <w:rFonts w:ascii="Garamond" w:hAnsi="Garamond"/>
          <w:sz w:val="22"/>
          <w:szCs w:val="22"/>
        </w:rPr>
        <w:t>4 Construct an individualized, evidence-based management strategy for hypothermic infant, integrating current literature and patient-specific considerations.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7084183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41516266"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