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34434</w:instrText>
      </w:r>
      <w:r>
        <w:rPr>
          <w:rFonts w:ascii="Garamond" w:hAnsi="Garamond"/>
          <w:bCs/>
        </w:rPr>
        <w:instrText xml:space="preserve"> &lt;&gt; "" "</w:instrText>
      </w:r>
      <w:r>
        <w:rPr>
          <w:rFonts w:ascii="Garamond" w:hAnsi="Garamond"/>
          <w:bCs/>
        </w:rPr>
        <w:instrText>Urgent Care Network Bite Size Learning- Online</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Urgent Care Network Bite Size Learning- Online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May 18,</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34434</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 xml:space="preserve">Urgent Care Bite Sized Learning: Cannabis Ingestion in Children </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 xml:space="preserve">Urgent Care Bite Sized Learning: Cannabis Ingestion in Children </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Luciana 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Brott,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Sheila Giles, BSN, CPN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Huffman,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Kovalcik,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Newland,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Renee Owen,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Margaret Redmond,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Review signs and symptoms of cannabis ingestion in the pediatric population </w:instrText>
      </w:r>
    </w:p>
    <w:p w:rsidR="004777F1">
      <w:pPr>
        <w:bidi w:val="0"/>
        <w:spacing w:after="280" w:afterAutospacing="1"/>
        <w:rPr>
          <w:rFonts w:ascii="Garamond" w:hAnsi="Garamond"/>
          <w:sz w:val="22"/>
          <w:szCs w:val="22"/>
        </w:rPr>
      </w:pPr>
      <w:r>
        <w:rPr>
          <w:rFonts w:ascii="Garamond" w:hAnsi="Garamond"/>
          <w:sz w:val="22"/>
          <w:szCs w:val="22"/>
        </w:rPr>
        <w:instrText>2 Discuss non-pharmalogical interventions utilized in caring for a child who has ingested cannabis</w:instrText>
      </w:r>
    </w:p>
    <w:p w:rsidR="004777F1">
      <w:pPr>
        <w:bidi w:val="0"/>
        <w:spacing w:after="280" w:afterAutospacing="1"/>
        <w:rPr>
          <w:rFonts w:ascii="Garamond" w:hAnsi="Garamond"/>
          <w:sz w:val="22"/>
          <w:szCs w:val="22"/>
        </w:rPr>
      </w:pPr>
      <w:r>
        <w:rPr>
          <w:rFonts w:ascii="Garamond" w:hAnsi="Garamond"/>
          <w:sz w:val="22"/>
          <w:szCs w:val="22"/>
        </w:rPr>
        <w:instrText>3 List educational tools available for families whose child has ingested cannabis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Review signs and symptoms of cannabis ingestion in the pediatric population </w:instrText>
      </w:r>
    </w:p>
    <w:p w:rsidP="004777F1">
      <w:pPr>
        <w:ind w:left="540" w:hanging="180"/>
        <w:rPr>
          <w:rFonts w:ascii="Garamond" w:hAnsi="Garamond"/>
          <w:sz w:val="22"/>
          <w:szCs w:val="22"/>
        </w:rPr>
      </w:pPr>
      <w:r>
        <w:rPr>
          <w:rFonts w:ascii="Garamond" w:hAnsi="Garamond"/>
          <w:sz w:val="22"/>
          <w:szCs w:val="22"/>
        </w:rPr>
        <w:instrText>2 Discuss non-pharmalogical interventions utilized in caring for a child who has ingested cannabis</w:instrText>
      </w:r>
    </w:p>
    <w:p w:rsidP="004777F1">
      <w:pPr>
        <w:ind w:left="540" w:hanging="180"/>
        <w:rPr>
          <w:rFonts w:ascii="Garamond" w:hAnsi="Garamond"/>
          <w:sz w:val="22"/>
          <w:szCs w:val="22"/>
        </w:rPr>
      </w:pPr>
      <w:r>
        <w:rPr>
          <w:rFonts w:ascii="Garamond" w:hAnsi="Garamond"/>
          <w:sz w:val="22"/>
          <w:szCs w:val="22"/>
        </w:rPr>
        <w:instrText>3 List educational tools available for families whose child has ingested cannabis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Review signs and symptoms of cannabis ingestion in the pediatric population </w:t>
      </w:r>
    </w:p>
    <w:p w:rsidP="004777F1">
      <w:pPr>
        <w:ind w:left="540" w:hanging="180"/>
        <w:rPr>
          <w:rFonts w:ascii="Garamond" w:hAnsi="Garamond"/>
          <w:sz w:val="22"/>
          <w:szCs w:val="22"/>
        </w:rPr>
      </w:pPr>
      <w:r>
        <w:rPr>
          <w:rFonts w:ascii="Garamond" w:hAnsi="Garamond"/>
          <w:sz w:val="22"/>
          <w:szCs w:val="22"/>
        </w:rPr>
        <w:t>2 Discuss non-pharmalogical interventions utilized in caring for a child who has ingested cannabis</w:t>
      </w:r>
    </w:p>
    <w:p w:rsidR="004777F1" w:rsidP="004777F1">
      <w:pPr>
        <w:ind w:left="540" w:hanging="180"/>
        <w:rPr>
          <w:rFonts w:ascii="Garamond" w:hAnsi="Garamond"/>
          <w:sz w:val="22"/>
          <w:szCs w:val="22"/>
        </w:rPr>
      </w:pPr>
      <w:r>
        <w:rPr>
          <w:rFonts w:ascii="Garamond" w:hAnsi="Garamond"/>
          <w:sz w:val="22"/>
          <w:szCs w:val="22"/>
        </w:rPr>
        <w:t>3 List educational tools available for families whose child has ingested cannabis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