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30,</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Let Babies and Their Mothers Eat: Dietary avoidance is NOT a benign recommendation by David Stukus, MD, FAAP, FAAAAI, FACAAI</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Let Babies and Their Mothers Eat: Dietary avoidance is NOT a benign recommendation by David Stukus, MD, FAAP, FAAAAI, FACAAI</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Stukus,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support-DBV Technologies|Honoraria-American Academy of Pediatrics (Relationship has ended)|Honoraria-American College of Allergy Asthma and Immunology (Relationship has ended)|Consulting Fee-Genentech (Relationship has ended)|Consulting Fee-Aquestive (Relationship has ended)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Identify conditions affecting infants that are caused by specific foods.</w:instrText>
      </w:r>
    </w:p>
    <w:p w:rsidR="004777F1">
      <w:pPr>
        <w:bidi w:val="0"/>
        <w:spacing w:after="280" w:afterAutospacing="1"/>
        <w:rPr>
          <w:rFonts w:ascii="Garamond" w:hAnsi="Garamond"/>
          <w:sz w:val="22"/>
          <w:szCs w:val="22"/>
        </w:rPr>
      </w:pPr>
      <w:r>
        <w:rPr>
          <w:rFonts w:ascii="Garamond" w:hAnsi="Garamond"/>
          <w:sz w:val="22"/>
          <w:szCs w:val="22"/>
        </w:rPr>
        <w:instrText>2 Predict parental concerns regarding food(s) causing their child’s symptoms.</w:instrText>
      </w:r>
    </w:p>
    <w:p w:rsidR="004777F1">
      <w:pPr>
        <w:bidi w:val="0"/>
        <w:spacing w:after="280" w:afterAutospacing="1"/>
        <w:rPr>
          <w:rFonts w:ascii="Garamond" w:hAnsi="Garamond"/>
          <w:sz w:val="22"/>
          <w:szCs w:val="22"/>
        </w:rPr>
      </w:pPr>
      <w:r>
        <w:rPr>
          <w:rFonts w:ascii="Garamond" w:hAnsi="Garamond"/>
          <w:sz w:val="22"/>
          <w:szCs w:val="22"/>
        </w:rPr>
        <w:instrText>3 Discuss recommendations surrounding maternal dietary avoidance while breastfeeding.</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Identify conditions affecting infants that are caused by specific foods.</w:instrText>
      </w:r>
    </w:p>
    <w:p w:rsidP="004777F1">
      <w:pPr>
        <w:ind w:left="540" w:hanging="180"/>
        <w:rPr>
          <w:rFonts w:ascii="Garamond" w:hAnsi="Garamond"/>
          <w:sz w:val="22"/>
          <w:szCs w:val="22"/>
        </w:rPr>
      </w:pPr>
      <w:r>
        <w:rPr>
          <w:rFonts w:ascii="Garamond" w:hAnsi="Garamond"/>
          <w:sz w:val="22"/>
          <w:szCs w:val="22"/>
        </w:rPr>
        <w:instrText>2 Predict parental concerns regarding food(s) causing their child’s symptoms.</w:instrText>
      </w:r>
    </w:p>
    <w:p w:rsidP="004777F1">
      <w:pPr>
        <w:ind w:left="540" w:hanging="180"/>
        <w:rPr>
          <w:rFonts w:ascii="Garamond" w:hAnsi="Garamond"/>
          <w:sz w:val="22"/>
          <w:szCs w:val="22"/>
        </w:rPr>
      </w:pPr>
      <w:r>
        <w:rPr>
          <w:rFonts w:ascii="Garamond" w:hAnsi="Garamond"/>
          <w:sz w:val="22"/>
          <w:szCs w:val="22"/>
        </w:rPr>
        <w:instrText>3 Discuss recommendations surrounding maternal dietary avoidance while breastfeeding.</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Identify conditions affecting infants that are caused by specific foods.</w:t>
      </w:r>
    </w:p>
    <w:p w:rsidP="004777F1">
      <w:pPr>
        <w:ind w:left="540" w:hanging="180"/>
        <w:rPr>
          <w:rFonts w:ascii="Garamond" w:hAnsi="Garamond"/>
          <w:sz w:val="22"/>
          <w:szCs w:val="22"/>
        </w:rPr>
      </w:pPr>
      <w:r>
        <w:rPr>
          <w:rFonts w:ascii="Garamond" w:hAnsi="Garamond"/>
          <w:sz w:val="22"/>
          <w:szCs w:val="22"/>
        </w:rPr>
        <w:t>2 Predict parental concerns regarding food(s) causing their child’s symptoms.</w:t>
      </w:r>
    </w:p>
    <w:p w:rsidR="004777F1" w:rsidP="004777F1">
      <w:pPr>
        <w:ind w:left="540" w:hanging="180"/>
        <w:rPr>
          <w:rFonts w:ascii="Garamond" w:hAnsi="Garamond"/>
          <w:sz w:val="22"/>
          <w:szCs w:val="22"/>
        </w:rPr>
      </w:pPr>
      <w:r>
        <w:rPr>
          <w:rFonts w:ascii="Garamond" w:hAnsi="Garamond"/>
          <w:sz w:val="22"/>
          <w:szCs w:val="22"/>
        </w:rPr>
        <w:t>3 Discuss recommendations surrounding maternal dietary avoidance while breastfeeding.</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63480796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746479372"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