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PediaCast CME 121 - Febrile Neonates: Can We Safely Skip the Lumbar Puncture?</w:instrText>
      </w:r>
      <w:r>
        <w:rPr>
          <w:rFonts w:ascii="Garamond" w:hAnsi="Garamond"/>
          <w:bCs/>
        </w:rPr>
        <w:instrText xml:space="preserve">" </w:instrText>
      </w:r>
      <w:r>
        <w:rPr>
          <w:rFonts w:ascii="Garamond" w:hAnsi="Garamond"/>
          <w:bCs/>
        </w:rPr>
        <w:fldChar w:fldCharType="separate"/>
      </w:r>
      <w:r>
        <w:rPr>
          <w:rFonts w:ascii="Garamond" w:hAnsi="Garamond"/>
          <w:bCs/>
        </w:rPr>
        <w:t>PediaCast CME 121 - Febrile Neonates: Can We Safely Skip the Lumbar Puncture?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May 5,</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Brett Burstein,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Honoraria-Thermo Fisher Scientific|Grant or research support-BioMerieux Canada - 04/15/2026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Kuppermann, MD, MPH, EVP, Chief Academic Officer and Chair of Pediatrics, Childrens National Hospital</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prevalence and clinical significance of invasive bacterial infections in febrile infants =28 days.</w:instrText>
      </w:r>
    </w:p>
    <w:p w:rsidR="004777F1">
      <w:pPr>
        <w:bidi w:val="0"/>
        <w:spacing w:after="280" w:afterAutospacing="1"/>
        <w:rPr>
          <w:rFonts w:ascii="Garamond" w:hAnsi="Garamond"/>
          <w:sz w:val="22"/>
          <w:szCs w:val="22"/>
        </w:rPr>
      </w:pPr>
      <w:r>
        <w:rPr>
          <w:rFonts w:ascii="Garamond" w:hAnsi="Garamond"/>
          <w:sz w:val="22"/>
          <w:szCs w:val="22"/>
        </w:rPr>
        <w:instrText>2 Explain the components and diagnostic performance of the PECARN prediction rule.</w:instrText>
      </w:r>
    </w:p>
    <w:p w:rsidR="004777F1">
      <w:pPr>
        <w:bidi w:val="0"/>
        <w:spacing w:after="280" w:afterAutospacing="1"/>
        <w:rPr>
          <w:rFonts w:ascii="Garamond" w:hAnsi="Garamond"/>
          <w:sz w:val="22"/>
          <w:szCs w:val="22"/>
        </w:rPr>
      </w:pPr>
      <w:r>
        <w:rPr>
          <w:rFonts w:ascii="Garamond" w:hAnsi="Garamond"/>
          <w:sz w:val="22"/>
          <w:szCs w:val="22"/>
        </w:rPr>
        <w:instrText>3 Analyze the benefits and limitations of risk stratification in neonatal fever management.</w:instrText>
      </w:r>
    </w:p>
    <w:p w:rsidR="004777F1">
      <w:pPr>
        <w:bidi w:val="0"/>
        <w:spacing w:after="280" w:afterAutospacing="1"/>
        <w:rPr>
          <w:rFonts w:ascii="Garamond" w:hAnsi="Garamond"/>
          <w:sz w:val="22"/>
          <w:szCs w:val="22"/>
        </w:rPr>
      </w:pPr>
      <w:r>
        <w:rPr>
          <w:rFonts w:ascii="Garamond" w:hAnsi="Garamond"/>
          <w:sz w:val="22"/>
          <w:szCs w:val="22"/>
        </w:rPr>
        <w:instrText>4 Apply study findings to clinical decision-making regarding lumbar puncture, antibiotics, and hospitalization.</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prevalence and clinical significance of invasive bacterial infections in febrile infants =28 days.</w:instrText>
      </w:r>
    </w:p>
    <w:p w:rsidP="004777F1">
      <w:pPr>
        <w:ind w:left="540" w:hanging="180"/>
        <w:rPr>
          <w:rFonts w:ascii="Garamond" w:hAnsi="Garamond"/>
          <w:sz w:val="22"/>
          <w:szCs w:val="22"/>
        </w:rPr>
      </w:pPr>
      <w:r>
        <w:rPr>
          <w:rFonts w:ascii="Garamond" w:hAnsi="Garamond"/>
          <w:sz w:val="22"/>
          <w:szCs w:val="22"/>
        </w:rPr>
        <w:instrText>2 Explain the components and diagnostic performance of the PECARN prediction rule.</w:instrText>
      </w:r>
    </w:p>
    <w:p w:rsidP="004777F1">
      <w:pPr>
        <w:ind w:left="540" w:hanging="180"/>
        <w:rPr>
          <w:rFonts w:ascii="Garamond" w:hAnsi="Garamond"/>
          <w:sz w:val="22"/>
          <w:szCs w:val="22"/>
        </w:rPr>
      </w:pPr>
      <w:r>
        <w:rPr>
          <w:rFonts w:ascii="Garamond" w:hAnsi="Garamond"/>
          <w:sz w:val="22"/>
          <w:szCs w:val="22"/>
        </w:rPr>
        <w:instrText>3 Analyze the benefits and limitations of risk stratification in neonatal fever management.</w:instrText>
      </w:r>
    </w:p>
    <w:p w:rsidP="004777F1">
      <w:pPr>
        <w:ind w:left="540" w:hanging="180"/>
        <w:rPr>
          <w:rFonts w:ascii="Garamond" w:hAnsi="Garamond"/>
          <w:sz w:val="22"/>
          <w:szCs w:val="22"/>
        </w:rPr>
      </w:pPr>
      <w:r>
        <w:rPr>
          <w:rFonts w:ascii="Garamond" w:hAnsi="Garamond"/>
          <w:sz w:val="22"/>
          <w:szCs w:val="22"/>
        </w:rPr>
        <w:instrText>4 Apply study findings to clinical decision-making regarding lumbar puncture, antibiotics, and hospitalization.</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prevalence and clinical significance of invasive bacterial infections in febrile infants =28 days.</w:t>
      </w:r>
    </w:p>
    <w:p w:rsidP="004777F1">
      <w:pPr>
        <w:ind w:left="540" w:hanging="180"/>
        <w:rPr>
          <w:rFonts w:ascii="Garamond" w:hAnsi="Garamond"/>
          <w:sz w:val="22"/>
          <w:szCs w:val="22"/>
        </w:rPr>
      </w:pPr>
      <w:r>
        <w:rPr>
          <w:rFonts w:ascii="Garamond" w:hAnsi="Garamond"/>
          <w:sz w:val="22"/>
          <w:szCs w:val="22"/>
        </w:rPr>
        <w:t>2 Explain the components and diagnostic performance of the PECARN prediction rule.</w:t>
      </w:r>
    </w:p>
    <w:p w:rsidP="004777F1">
      <w:pPr>
        <w:ind w:left="540" w:hanging="180"/>
        <w:rPr>
          <w:rFonts w:ascii="Garamond" w:hAnsi="Garamond"/>
          <w:sz w:val="22"/>
          <w:szCs w:val="22"/>
        </w:rPr>
      </w:pPr>
      <w:r>
        <w:rPr>
          <w:rFonts w:ascii="Garamond" w:hAnsi="Garamond"/>
          <w:sz w:val="22"/>
          <w:szCs w:val="22"/>
        </w:rPr>
        <w:t>3 Analyze the benefits and limitations of risk stratification in neonatal fever management.</w:t>
      </w:r>
    </w:p>
    <w:p w:rsidR="004777F1" w:rsidP="004777F1">
      <w:pPr>
        <w:ind w:left="540" w:hanging="180"/>
        <w:rPr>
          <w:rFonts w:ascii="Garamond" w:hAnsi="Garamond"/>
          <w:sz w:val="22"/>
          <w:szCs w:val="22"/>
        </w:rPr>
      </w:pPr>
      <w:r>
        <w:rPr>
          <w:rFonts w:ascii="Garamond" w:hAnsi="Garamond"/>
          <w:sz w:val="22"/>
          <w:szCs w:val="22"/>
        </w:rPr>
        <w:t>4 Apply study findings to clinical decision-making regarding lumbar puncture, antibiotics, and hospitalization.</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414745505"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158664703"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025856721"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50650102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