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9,</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Lessons Unlearned: The Return of Measles by Adam Ratner, MD, MPH</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Lessons Unlearned: The Return of Measles by Adam Ratner, MD, MPH</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Ratner,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Beneficiary-Penguin Random House|Membership on Advisory Committees or Review Panels, Board Membership, etc.-AAP, IDSA, PIDS - 04/06/2026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Discuss the epidemiology and re-emergence of measles in the United States and globally.</w:instrText>
      </w:r>
    </w:p>
    <w:p w:rsidR="004777F1">
      <w:pPr>
        <w:bidi w:val="0"/>
        <w:spacing w:after="280" w:afterAutospacing="1"/>
        <w:rPr>
          <w:rFonts w:ascii="Garamond" w:hAnsi="Garamond"/>
          <w:sz w:val="22"/>
          <w:szCs w:val="22"/>
        </w:rPr>
      </w:pPr>
      <w:r>
        <w:rPr>
          <w:rFonts w:ascii="Garamond" w:hAnsi="Garamond"/>
          <w:sz w:val="22"/>
          <w:szCs w:val="22"/>
        </w:rPr>
        <w:instrText>2 Review the clinical features, pathophysiology, and management of children with suspected or confirmed measles.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Discuss the epidemiology and re-emergence of measles in the United States and globally.</w:instrText>
      </w:r>
    </w:p>
    <w:p w:rsidP="004777F1">
      <w:pPr>
        <w:ind w:left="540" w:hanging="180"/>
        <w:rPr>
          <w:rFonts w:ascii="Garamond" w:hAnsi="Garamond"/>
          <w:sz w:val="22"/>
          <w:szCs w:val="22"/>
        </w:rPr>
      </w:pPr>
      <w:r>
        <w:rPr>
          <w:rFonts w:ascii="Garamond" w:hAnsi="Garamond"/>
          <w:sz w:val="22"/>
          <w:szCs w:val="22"/>
        </w:rPr>
        <w:instrText>2 Review the clinical features, pathophysiology, and management of children with suspected or confirmed measles.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Discuss the epidemiology and re-emergence of measles in the United States and globally.</w:t>
      </w:r>
    </w:p>
    <w:p w:rsidR="004777F1" w:rsidP="004777F1">
      <w:pPr>
        <w:ind w:left="540" w:hanging="180"/>
        <w:rPr>
          <w:rFonts w:ascii="Garamond" w:hAnsi="Garamond"/>
          <w:sz w:val="22"/>
          <w:szCs w:val="22"/>
        </w:rPr>
      </w:pPr>
      <w:r>
        <w:rPr>
          <w:rFonts w:ascii="Garamond" w:hAnsi="Garamond"/>
          <w:sz w:val="22"/>
          <w:szCs w:val="22"/>
        </w:rPr>
        <w:t>2 Review the clinical features, pathophysiology, and management of children with suspected or confirmed measles.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197265536"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34759674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