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26,</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Know Your Value: The Pediatric Subspecialty Workforce by Mary Leonard, MD, MSCE</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Know Your Value: The Pediatric Subspecialty Workforce by Mary Leonard, MD, MSCE</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Leonard,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Understand the economic drivers behind the pediatric subspecialty workforce crisis.</w:instrText>
      </w:r>
    </w:p>
    <w:p w:rsidR="004777F1">
      <w:pPr>
        <w:bidi w:val="0"/>
        <w:spacing w:after="280" w:afterAutospacing="1"/>
        <w:rPr>
          <w:rFonts w:ascii="Garamond" w:hAnsi="Garamond"/>
          <w:sz w:val="22"/>
          <w:szCs w:val="22"/>
        </w:rPr>
      </w:pPr>
      <w:r>
        <w:rPr>
          <w:rFonts w:ascii="Garamond" w:hAnsi="Garamond"/>
          <w:sz w:val="22"/>
          <w:szCs w:val="22"/>
        </w:rPr>
        <w:instrText>2 Define the subspecialty specific evidence supporting the importance of pediatric subspecialty expertise for the health of our nation's children.</w:instrText>
      </w:r>
    </w:p>
    <w:p w:rsidR="004777F1">
      <w:pPr>
        <w:bidi w:val="0"/>
        <w:spacing w:after="280" w:afterAutospacing="1"/>
        <w:rPr>
          <w:rFonts w:ascii="Garamond" w:hAnsi="Garamond"/>
          <w:sz w:val="22"/>
          <w:szCs w:val="22"/>
        </w:rPr>
      </w:pPr>
      <w:r>
        <w:rPr>
          <w:rFonts w:ascii="Garamond" w:hAnsi="Garamond"/>
          <w:sz w:val="22"/>
          <w:szCs w:val="22"/>
        </w:rPr>
        <w:instrText>3 Develop tactics to advocate for your pediatric subspecialty.</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Understand the economic drivers behind the pediatric subspecialty workforce crisis.</w:instrText>
      </w:r>
    </w:p>
    <w:p w:rsidP="004777F1">
      <w:pPr>
        <w:ind w:left="540" w:hanging="180"/>
        <w:rPr>
          <w:rFonts w:ascii="Garamond" w:hAnsi="Garamond"/>
          <w:sz w:val="22"/>
          <w:szCs w:val="22"/>
        </w:rPr>
      </w:pPr>
      <w:r>
        <w:rPr>
          <w:rFonts w:ascii="Garamond" w:hAnsi="Garamond"/>
          <w:sz w:val="22"/>
          <w:szCs w:val="22"/>
        </w:rPr>
        <w:instrText>2 Define the subspecialty specific evidence supporting the importance of pediatric subspecialty expertise for the health of our nation's children.</w:instrText>
      </w:r>
    </w:p>
    <w:p w:rsidP="004777F1">
      <w:pPr>
        <w:ind w:left="540" w:hanging="180"/>
        <w:rPr>
          <w:rFonts w:ascii="Garamond" w:hAnsi="Garamond"/>
          <w:sz w:val="22"/>
          <w:szCs w:val="22"/>
        </w:rPr>
      </w:pPr>
      <w:r>
        <w:rPr>
          <w:rFonts w:ascii="Garamond" w:hAnsi="Garamond"/>
          <w:sz w:val="22"/>
          <w:szCs w:val="22"/>
        </w:rPr>
        <w:instrText>3 Develop tactics to advocate for your pediatric subspecialty.</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Understand the economic drivers behind the pediatric subspecialty workforce crisis.</w:t>
      </w:r>
    </w:p>
    <w:p w:rsidP="004777F1">
      <w:pPr>
        <w:ind w:left="540" w:hanging="180"/>
        <w:rPr>
          <w:rFonts w:ascii="Garamond" w:hAnsi="Garamond"/>
          <w:sz w:val="22"/>
          <w:szCs w:val="22"/>
        </w:rPr>
      </w:pPr>
      <w:r>
        <w:rPr>
          <w:rFonts w:ascii="Garamond" w:hAnsi="Garamond"/>
          <w:sz w:val="22"/>
          <w:szCs w:val="22"/>
        </w:rPr>
        <w:t>2 Define the subspecialty specific evidence supporting the importance of pediatric subspecialty expertise for the health of our nation's children.</w:t>
      </w:r>
    </w:p>
    <w:p w:rsidR="004777F1" w:rsidP="004777F1">
      <w:pPr>
        <w:ind w:left="540" w:hanging="180"/>
        <w:rPr>
          <w:rFonts w:ascii="Garamond" w:hAnsi="Garamond"/>
          <w:sz w:val="22"/>
          <w:szCs w:val="22"/>
        </w:rPr>
      </w:pPr>
      <w:r>
        <w:rPr>
          <w:rFonts w:ascii="Garamond" w:hAnsi="Garamond"/>
          <w:sz w:val="22"/>
          <w:szCs w:val="22"/>
        </w:rPr>
        <w:t>3 Develop tactics to advocate for your pediatric subspecialty.</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50628759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5965446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