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March 17,</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Fighting Eczema Without a Prescription Pad: Environmental and behavioral mitigations for patients and caregivers by Ian Myles, MD, MPH</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Fighting Eczema Without a Prescription Pad: Environmental and behavioral mitigations for patients and caregivers by Ian Myles, MD, MPH</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Ian A Myles,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Newland, MD,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Identify the chemical exposures which associate with atopic dermatitis.</w:instrText>
      </w:r>
    </w:p>
    <w:p w:rsidR="004777F1">
      <w:pPr>
        <w:bidi w:val="0"/>
        <w:spacing w:after="280" w:afterAutospacing="1"/>
        <w:rPr>
          <w:rFonts w:ascii="Garamond" w:hAnsi="Garamond"/>
          <w:sz w:val="22"/>
          <w:szCs w:val="22"/>
        </w:rPr>
      </w:pPr>
      <w:r>
        <w:rPr>
          <w:rFonts w:ascii="Garamond" w:hAnsi="Garamond"/>
          <w:sz w:val="22"/>
          <w:szCs w:val="22"/>
        </w:rPr>
        <w:instrText>2 Outline environmental mitigation strategies patients and caregivers can use to improve atopic derm outcomes.</w:instrText>
      </w:r>
    </w:p>
    <w:p w:rsidR="004777F1">
      <w:pPr>
        <w:bidi w:val="0"/>
        <w:spacing w:after="280" w:afterAutospacing="1"/>
        <w:rPr>
          <w:rFonts w:ascii="Garamond" w:hAnsi="Garamond"/>
          <w:sz w:val="22"/>
          <w:szCs w:val="22"/>
        </w:rPr>
      </w:pPr>
      <w:r>
        <w:rPr>
          <w:rFonts w:ascii="Garamond" w:hAnsi="Garamond"/>
          <w:sz w:val="22"/>
          <w:szCs w:val="22"/>
        </w:rPr>
        <w:instrText>3 Discuss causes of disconnect between patients and providers.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Identify the chemical exposures which associate with atopic dermatitis.</w:instrText>
      </w:r>
    </w:p>
    <w:p w:rsidP="004777F1">
      <w:pPr>
        <w:ind w:left="540" w:hanging="180"/>
        <w:rPr>
          <w:rFonts w:ascii="Garamond" w:hAnsi="Garamond"/>
          <w:sz w:val="22"/>
          <w:szCs w:val="22"/>
        </w:rPr>
      </w:pPr>
      <w:r>
        <w:rPr>
          <w:rFonts w:ascii="Garamond" w:hAnsi="Garamond"/>
          <w:sz w:val="22"/>
          <w:szCs w:val="22"/>
        </w:rPr>
        <w:instrText>2 Outline environmental mitigation strategies patients and caregivers can use to improve atopic derm outcomes.</w:instrText>
      </w:r>
    </w:p>
    <w:p w:rsidP="004777F1">
      <w:pPr>
        <w:ind w:left="540" w:hanging="180"/>
        <w:rPr>
          <w:rFonts w:ascii="Garamond" w:hAnsi="Garamond"/>
          <w:sz w:val="22"/>
          <w:szCs w:val="22"/>
        </w:rPr>
      </w:pPr>
      <w:r>
        <w:rPr>
          <w:rFonts w:ascii="Garamond" w:hAnsi="Garamond"/>
          <w:sz w:val="22"/>
          <w:szCs w:val="22"/>
        </w:rPr>
        <w:instrText>3 Discuss causes of disconnect between patients and providers.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Identify the chemical exposures which associate with atopic dermatitis.</w:t>
      </w:r>
    </w:p>
    <w:p w:rsidP="004777F1">
      <w:pPr>
        <w:ind w:left="540" w:hanging="180"/>
        <w:rPr>
          <w:rFonts w:ascii="Garamond" w:hAnsi="Garamond"/>
          <w:sz w:val="22"/>
          <w:szCs w:val="22"/>
        </w:rPr>
      </w:pPr>
      <w:r>
        <w:rPr>
          <w:rFonts w:ascii="Garamond" w:hAnsi="Garamond"/>
          <w:sz w:val="22"/>
          <w:szCs w:val="22"/>
        </w:rPr>
        <w:t>2 Outline environmental mitigation strategies patients and caregivers can use to improve atopic derm outcomes.</w:t>
      </w:r>
    </w:p>
    <w:p w:rsidR="004777F1" w:rsidP="004777F1">
      <w:pPr>
        <w:ind w:left="540" w:hanging="180"/>
        <w:rPr>
          <w:rFonts w:ascii="Garamond" w:hAnsi="Garamond"/>
          <w:sz w:val="22"/>
          <w:szCs w:val="22"/>
        </w:rPr>
      </w:pPr>
      <w:r>
        <w:rPr>
          <w:rFonts w:ascii="Garamond" w:hAnsi="Garamond"/>
          <w:sz w:val="22"/>
          <w:szCs w:val="22"/>
        </w:rPr>
        <w:t>3 Discuss causes of disconnect between patients and providers.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9527517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250705673"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