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w:instrText>
      </w:r>
      <w:r>
        <w:rPr>
          <w:rFonts w:ascii="Garamond" w:hAnsi="Garamond"/>
          <w:bCs/>
        </w:rPr>
        <w:instrText>"</w:instrText>
      </w:r>
      <w:r>
        <w:rPr>
          <w:rFonts w:ascii="Garamond" w:hAnsi="Garamond"/>
          <w:bCs/>
        </w:rPr>
        <w:instrText xml:space="preserve"> &lt;&gt; "" "</w:instrText>
      </w:r>
      <w:r>
        <w:rPr>
          <w:rFonts w:ascii="Garamond" w:hAnsi="Garamond"/>
          <w:bCs/>
        </w:rPr>
        <w:fldChar w:fldCharType="begin"/>
      </w:r>
      <w:r>
        <w:rPr>
          <w:rFonts w:ascii="Garamond" w:hAnsi="Garamond"/>
          <w:bCs/>
        </w:rPr>
        <w:instrText xml:space="preserve"> MERGEFIELD ParentName </w:instrText>
      </w:r>
      <w:r>
        <w:rPr>
          <w:rFonts w:ascii="Garamond" w:hAnsi="Garamond"/>
          <w:bCs/>
        </w:rPr>
        <w:fldChar w:fldCharType="separate"/>
      </w:r>
      <w:r w:rsidR="00443EE9">
        <w:rPr>
          <w:rFonts w:ascii="Garamond" w:hAnsi="Garamond"/>
          <w:bCs/>
          <w:noProof/>
        </w:rPr>
        <w:instrText>«ParentName»</w:instrText>
      </w:r>
      <w:r>
        <w:rPr>
          <w:rFonts w:ascii="Garamond" w:hAnsi="Garamond"/>
          <w:bCs/>
        </w:rPr>
        <w:fldChar w:fldCharType="end"/>
      </w:r>
      <w:r>
        <w:rPr>
          <w:rFonts w:ascii="Garamond" w:hAnsi="Garamond"/>
          <w:bCs/>
        </w:rPr>
        <w:instrText>" "</w:instrText>
      </w:r>
      <w:r>
        <w:rPr>
          <w:rFonts w:ascii="Garamond" w:hAnsi="Garamond"/>
          <w:bCs/>
        </w:rPr>
        <w:instrText>PediaCast CME 120 - Speech-Language Development: Milestones &amp; Red Flags</w:instrText>
      </w:r>
      <w:r>
        <w:rPr>
          <w:rFonts w:ascii="Garamond" w:hAnsi="Garamond"/>
          <w:bCs/>
        </w:rPr>
        <w:instrText xml:space="preserve">" </w:instrText>
      </w:r>
      <w:r>
        <w:rPr>
          <w:rFonts w:ascii="Garamond" w:hAnsi="Garamond"/>
          <w:bCs/>
        </w:rPr>
        <w:fldChar w:fldCharType="separate"/>
      </w:r>
      <w:r>
        <w:rPr>
          <w:rFonts w:ascii="Garamond" w:hAnsi="Garamond"/>
          <w:bCs/>
        </w:rPr>
        <w:t>PediaCast CME 120 - Speech-Language Development: Milestones &amp; Red Flags</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April 21,</w:t>
      </w:r>
      <w:r>
        <w:rPr>
          <w:rFonts w:ascii="Garamond" w:hAnsi="Garamond"/>
          <w:bCs/>
        </w:rPr>
        <w:t xml:space="preserve"> 2026 - 12:00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w:instrText>
      </w:r>
      <w:r w:rsidRPr="00FF34C0">
        <w:rPr>
          <w:rFonts w:ascii="Garamond" w:hAnsi="Garamond"/>
          <w:bCs/>
          <w:sz w:val="22"/>
          <w:szCs w:val="22"/>
        </w:rPr>
        <w:instrText>"</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sidR="00443EE9">
        <w:rPr>
          <w:rFonts w:ascii="Garamond" w:hAnsi="Garamond"/>
          <w:bCs/>
          <w:noProof/>
        </w:rPr>
        <w:instrText>«EventName»</w:instrText>
      </w:r>
      <w:r>
        <w:rPr>
          <w:rFonts w:ascii="Garamond" w:hAnsi="Garamond"/>
          <w:bCs/>
        </w:rPr>
        <w:fldChar w:fldCharType="end"/>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Jamie Boster, PhD, CCC-SLP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Patrick,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Kelsey A Schilling, SLP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- 04/16/2026</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Differentiate between language and speech in young children</w:instrText>
      </w:r>
    </w:p>
    <w:p w:rsidR="004777F1">
      <w:pPr>
        <w:bidi w:val="0"/>
        <w:spacing w:after="280" w:afterAutospacing="1"/>
        <w:rPr>
          <w:rFonts w:ascii="Garamond" w:hAnsi="Garamond"/>
          <w:sz w:val="22"/>
          <w:szCs w:val="22"/>
        </w:rPr>
      </w:pPr>
      <w:r>
        <w:rPr>
          <w:rFonts w:ascii="Garamond" w:hAnsi="Garamond"/>
          <w:sz w:val="22"/>
          <w:szCs w:val="22"/>
        </w:rPr>
        <w:instrText>2 Identify typical milestones for receptive, expressive, and speech sound development</w:instrText>
      </w:r>
    </w:p>
    <w:p w:rsidR="004777F1">
      <w:pPr>
        <w:bidi w:val="0"/>
        <w:spacing w:after="280" w:afterAutospacing="1"/>
        <w:rPr>
          <w:rFonts w:ascii="Garamond" w:hAnsi="Garamond"/>
          <w:sz w:val="22"/>
          <w:szCs w:val="22"/>
        </w:rPr>
      </w:pPr>
      <w:r>
        <w:rPr>
          <w:rFonts w:ascii="Garamond" w:hAnsi="Garamond"/>
          <w:sz w:val="22"/>
          <w:szCs w:val="22"/>
        </w:rPr>
        <w:instrText>3 Recognize early signs of language and speech delays requiring referral</w:instrText>
      </w:r>
    </w:p>
    <w:p w:rsidR="004777F1">
      <w:pPr>
        <w:bidi w:val="0"/>
        <w:spacing w:after="280" w:afterAutospacing="1"/>
        <w:rPr>
          <w:rFonts w:ascii="Garamond" w:hAnsi="Garamond"/>
          <w:sz w:val="22"/>
          <w:szCs w:val="22"/>
        </w:rPr>
      </w:pPr>
      <w:r>
        <w:rPr>
          <w:rFonts w:ascii="Garamond" w:hAnsi="Garamond"/>
          <w:sz w:val="22"/>
          <w:szCs w:val="22"/>
        </w:rPr>
        <w:instrText>4 Apply evidence-informed guidance to support families and promote early intervention</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Differentiate between language and speech in young children</w:instrText>
      </w:r>
    </w:p>
    <w:p w:rsidP="004777F1">
      <w:pPr>
        <w:ind w:left="540" w:hanging="180"/>
        <w:rPr>
          <w:rFonts w:ascii="Garamond" w:hAnsi="Garamond"/>
          <w:sz w:val="22"/>
          <w:szCs w:val="22"/>
        </w:rPr>
      </w:pPr>
      <w:r>
        <w:rPr>
          <w:rFonts w:ascii="Garamond" w:hAnsi="Garamond"/>
          <w:sz w:val="22"/>
          <w:szCs w:val="22"/>
        </w:rPr>
        <w:instrText>2 Identify typical milestones for receptive, expressive, and speech sound development</w:instrText>
      </w:r>
    </w:p>
    <w:p w:rsidP="004777F1">
      <w:pPr>
        <w:ind w:left="540" w:hanging="180"/>
        <w:rPr>
          <w:rFonts w:ascii="Garamond" w:hAnsi="Garamond"/>
          <w:sz w:val="22"/>
          <w:szCs w:val="22"/>
        </w:rPr>
      </w:pPr>
      <w:r>
        <w:rPr>
          <w:rFonts w:ascii="Garamond" w:hAnsi="Garamond"/>
          <w:sz w:val="22"/>
          <w:szCs w:val="22"/>
        </w:rPr>
        <w:instrText>3 Recognize early signs of language and speech delays requiring referral</w:instrText>
      </w:r>
    </w:p>
    <w:p w:rsidP="004777F1">
      <w:pPr>
        <w:ind w:left="540" w:hanging="180"/>
        <w:rPr>
          <w:rFonts w:ascii="Garamond" w:hAnsi="Garamond"/>
          <w:sz w:val="22"/>
          <w:szCs w:val="22"/>
        </w:rPr>
      </w:pPr>
      <w:r>
        <w:rPr>
          <w:rFonts w:ascii="Garamond" w:hAnsi="Garamond"/>
          <w:sz w:val="22"/>
          <w:szCs w:val="22"/>
        </w:rPr>
        <w:instrText>4 Apply evidence-informed guidance to support families and promote early intervention</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Differentiate between language and speech in young children</w:t>
      </w:r>
    </w:p>
    <w:p w:rsidP="004777F1">
      <w:pPr>
        <w:ind w:left="540" w:hanging="180"/>
        <w:rPr>
          <w:rFonts w:ascii="Garamond" w:hAnsi="Garamond"/>
          <w:sz w:val="22"/>
          <w:szCs w:val="22"/>
        </w:rPr>
      </w:pPr>
      <w:r>
        <w:rPr>
          <w:rFonts w:ascii="Garamond" w:hAnsi="Garamond"/>
          <w:sz w:val="22"/>
          <w:szCs w:val="22"/>
        </w:rPr>
        <w:t>2 Identify typical milestones for receptive, expressive, and speech sound development</w:t>
      </w:r>
    </w:p>
    <w:p w:rsidP="004777F1">
      <w:pPr>
        <w:ind w:left="540" w:hanging="180"/>
        <w:rPr>
          <w:rFonts w:ascii="Garamond" w:hAnsi="Garamond"/>
          <w:sz w:val="22"/>
          <w:szCs w:val="22"/>
        </w:rPr>
      </w:pPr>
      <w:r>
        <w:rPr>
          <w:rFonts w:ascii="Garamond" w:hAnsi="Garamond"/>
          <w:sz w:val="22"/>
          <w:szCs w:val="22"/>
        </w:rPr>
        <w:t>3 Recognize early signs of language and speech delays requiring referral</w:t>
      </w:r>
    </w:p>
    <w:p w:rsidR="004777F1" w:rsidP="004777F1">
      <w:pPr>
        <w:ind w:left="540" w:hanging="180"/>
        <w:rPr>
          <w:rFonts w:ascii="Garamond" w:hAnsi="Garamond"/>
          <w:sz w:val="22"/>
          <w:szCs w:val="22"/>
        </w:rPr>
      </w:pPr>
      <w:r>
        <w:rPr>
          <w:rFonts w:ascii="Garamond" w:hAnsi="Garamond"/>
          <w:sz w:val="22"/>
          <w:szCs w:val="22"/>
        </w:rPr>
        <w:t>4 Apply evidence-informed guidance to support families and promote early intervention</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70528"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ANCC contact hour(s)) " "" </w:instrText>
      </w:r>
      <w:r>
        <w:rPr>
          <w:sz w:val="20"/>
          <w:szCs w:val="20"/>
        </w:rPr>
        <w:fldChar w:fldCharType="separate"/>
      </w:r>
      <w:r>
        <w:rPr>
          <w:sz w:val="20"/>
          <w:szCs w:val="20"/>
        </w:rPr>
        <w:t>(</w:t>
      </w:r>
      <w:r>
        <w:rPr>
          <w:sz w:val="20"/>
          <w:szCs w:val="20"/>
        </w:rPr>
        <w:t>1.00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ACPE contact hour(s)) " "" </w:instrText>
      </w:r>
      <w:r>
        <w:rPr>
          <w:sz w:val="20"/>
          <w:szCs w:val="20"/>
        </w:rPr>
        <w:fldChar w:fldCharType="separate"/>
      </w:r>
      <w:r>
        <w:rPr>
          <w:sz w:val="20"/>
          <w:szCs w:val="20"/>
        </w:rPr>
        <w:t>(</w:t>
      </w:r>
      <w:r>
        <w:rPr>
          <w:sz w:val="20"/>
          <w:szCs w:val="20"/>
        </w:rPr>
        <w:t>1.00</w:t>
      </w:r>
      <w:r>
        <w:rPr>
          <w:sz w:val="20"/>
          <w:szCs w:val="20"/>
        </w:rPr>
        <w:t xml:space="preserve"> ACPE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Enduring Material</w:instrText>
      </w:r>
      <w:r>
        <w:rPr>
          <w:sz w:val="20"/>
          <w:szCs w:val="20"/>
        </w:rPr>
        <w:instrText>"</w:instrText>
      </w:r>
      <w:r>
        <w:rPr>
          <w:sz w:val="20"/>
          <w:szCs w:val="20"/>
        </w:rPr>
        <w:instrText xml:space="preserve"> &lt;&gt; "" "</w:instrText>
      </w:r>
      <w:r>
        <w:rPr>
          <w:sz w:val="20"/>
          <w:szCs w:val="20"/>
        </w:rPr>
        <w:instrText>enduring material</w:instrText>
      </w:r>
      <w:r>
        <w:rPr>
          <w:sz w:val="20"/>
          <w:szCs w:val="20"/>
        </w:rPr>
        <w:instrText xml:space="preserve">" "activity" </w:instrText>
      </w:r>
      <w:r>
        <w:rPr>
          <w:sz w:val="20"/>
          <w:szCs w:val="20"/>
        </w:rPr>
        <w:fldChar w:fldCharType="separate"/>
      </w:r>
      <w:r>
        <w:rPr>
          <w:sz w:val="20"/>
          <w:szCs w:val="20"/>
        </w:rPr>
        <w:instrText>enduring material</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1.00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1.00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enduring material</w:t>
      </w:r>
      <w:r>
        <w:rPr>
          <w:sz w:val="20"/>
          <w:szCs w:val="20"/>
        </w:rPr>
        <w:t xml:space="preserve"> </w:t>
      </w:r>
      <w:r w:rsidRPr="00443EE9">
        <w:rPr>
          <w:sz w:val="20"/>
          <w:szCs w:val="20"/>
        </w:rPr>
        <w:t xml:space="preserve">for a maximum of </w:t>
      </w:r>
      <w:r>
        <w:rPr>
          <w:sz w:val="20"/>
          <w:szCs w:val="20"/>
        </w:rPr>
        <w:t>1.00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1.00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instrText>1.00</w:instrText>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60288"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1877574019"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t xml:space="preserve">This activity was planned by and for the healthcare team, and learners will receive </w:t>
      </w:r>
      <w:r w:rsidRPr="00207F0D">
        <w:rPr>
          <w:noProof/>
          <w:sz w:val="20"/>
        </w:rPr>
        <w:t>1.00</w:t>
      </w:r>
      <w:r w:rsidRPr="00207F0D">
        <w:rPr>
          <w:noProof/>
          <w:sz w:val="20"/>
        </w:rPr>
        <w:t xml:space="preserve"> Interprofessional Continuing Education (IPCE) credit(s) for learning and change.</w:t>
      </w:r>
    </w:p>
    <w:p w:rsidR="009F7D61" w:rsidP="00EA24D0">
      <w:pPr>
        <w:rPr>
          <w:noProof/>
          <w:sz w:val="20"/>
        </w:rPr>
      </w:pPr>
    </w:p>
    <w:p w:rsidRPr="00207F0D" w:rsidP="00EA24D0">
      <w:pPr>
        <w:rPr>
          <w:noProof/>
          <w:sz w:val="20"/>
        </w:rPr>
      </w:pP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1.00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p>
    <w:p w:rsidR="00EA24D0" w:rsidRPr="00207F0D" w:rsidP="00EA24D0">
      <w:pPr>
        <w:rPr>
          <w:noProof/>
          <w:sz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60942809"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t xml:space="preserve">Nationwide Children's Hospital has been authorized by the American Academy of PAs (AAPA) to award AAPA Category 1 CME credit for activities planned in accordance with AAPA CME Criteria. This activity is designated for </w:t>
      </w:r>
      <w:r w:rsidRPr="00207F0D">
        <w:rPr>
          <w:rFonts w:asciiTheme="minorHAnsi" w:hAnsiTheme="minorHAnsi"/>
          <w:noProof/>
          <w:sz w:val="20"/>
          <w:szCs w:val="20"/>
        </w:rPr>
        <w:t>1.00</w:t>
      </w:r>
      <w:r w:rsidRPr="00207F0D">
        <w:rPr>
          <w:rFonts w:asciiTheme="minorHAnsi" w:hAnsiTheme="minorHAnsi"/>
          <w:noProof/>
          <w:sz w:val="20"/>
          <w:szCs w:val="20"/>
        </w:rPr>
        <w:t xml:space="preserve"> AAPA Category 1 CME credit(s). Approval is valid for 2 years from the date of the activity. PAs should only claim credit commensurate with the extent of their participation.</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instrText>1.00</w:instrText>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2024576626"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t>
      </w:r>
      <w:r w:rsidRPr="00207F0D">
        <w:rPr>
          <w:rFonts w:asciiTheme="minorHAnsi" w:hAnsiTheme="minorHAnsi"/>
          <w:sz w:val="20"/>
          <w:szCs w:val="20"/>
        </w:rPr>
        <w:t>1.00</w:t>
      </w:r>
      <w:r w:rsidRPr="00207F0D">
        <w:rPr>
          <w:rFonts w:asciiTheme="minorHAnsi" w:hAnsiTheme="minorHAnsi"/>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1138425028"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1.00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9504"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