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47951</w:instrText>
      </w:r>
      <w:r>
        <w:rPr>
          <w:rFonts w:ascii="Garamond" w:hAnsi="Garamond"/>
          <w:bCs/>
        </w:rPr>
        <w:instrText xml:space="preserve"> &lt;&gt; "" "</w:instrText>
      </w:r>
      <w:r>
        <w:rPr>
          <w:rFonts w:ascii="Garamond" w:hAnsi="Garamond"/>
          <w:bCs/>
        </w:rPr>
        <w:instrText>2026 Pediatric Grand Rounds on Demand</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2026 Pediatric Grand Rounds on Demand</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March 19,</w:t>
      </w:r>
      <w:r>
        <w:rPr>
          <w:rFonts w:ascii="Garamond" w:hAnsi="Garamond"/>
          <w:bCs/>
        </w:rPr>
        <w:t xml:space="preserve"> 2026 - 12:00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47951</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2026 PGROD - Dyslexia in Pediatric Care: The Case for Recognition, Action, Support and Advocacy by Katie Plax, MD</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2026 PGROD - Dyslexia in Pediatric Care: The Case for Recognition, Action, Support and Advocacy by Katie Plax, MD</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Liz Bonachea,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Debra Boyer,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Garee, 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Hallberg,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Jenna Hatab,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Kristina Jiner,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Leah LaLonde,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Tina Lepley, ATC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LEVINSON,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Nancy Liao,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Honoraria-Elsevier (Relationship has ended)|Honoraria-Springer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Susi Miller, MLIS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Muehl,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Leena Nahata,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support-National Institutes of Health|Consulting Fee-Worth the Wait nonprofit (Relationship has ended)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Newland, MD, MEd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support-Merck (Relationship has ended)|Grant or research support-Pfizer (Relationship has ended) - 06/13/2025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Kehinde Obeto,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OBrien,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etc.-iECURE|Advisor-Hemab|Consulting Fee-AstraZeneca (Relationship has ended) - 10/11/2025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Whitney Phillips,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Katie Plax,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Marcie Rehmar-Rogell,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Sapko , Chief Pharmacy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R Tibor,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- 02/02/2026</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Outline the important relationships between reading and health.</w:instrText>
      </w:r>
    </w:p>
    <w:p w:rsidR="004777F1">
      <w:pPr>
        <w:bidi w:val="0"/>
        <w:spacing w:after="280" w:afterAutospacing="1"/>
        <w:rPr>
          <w:rFonts w:ascii="Garamond" w:hAnsi="Garamond"/>
          <w:sz w:val="22"/>
          <w:szCs w:val="22"/>
        </w:rPr>
      </w:pPr>
      <w:r>
        <w:rPr>
          <w:rFonts w:ascii="Garamond" w:hAnsi="Garamond"/>
          <w:sz w:val="22"/>
          <w:szCs w:val="22"/>
        </w:rPr>
        <w:instrText>2 Define and describe the condition of dyslexia.</w:instrText>
      </w:r>
    </w:p>
    <w:p w:rsidR="004777F1">
      <w:pPr>
        <w:bidi w:val="0"/>
        <w:spacing w:after="280" w:afterAutospacing="1"/>
        <w:rPr>
          <w:rFonts w:ascii="Garamond" w:hAnsi="Garamond"/>
          <w:sz w:val="22"/>
          <w:szCs w:val="22"/>
        </w:rPr>
      </w:pPr>
      <w:r>
        <w:rPr>
          <w:rFonts w:ascii="Garamond" w:hAnsi="Garamond"/>
          <w:sz w:val="22"/>
          <w:szCs w:val="22"/>
        </w:rPr>
        <w:instrText>3 Identify what pediatric clinicians can do to help children with dyslexia thrive.</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Outline the important relationships between reading and health.</w:instrText>
      </w:r>
    </w:p>
    <w:p w:rsidP="004777F1">
      <w:pPr>
        <w:ind w:left="540" w:hanging="180"/>
        <w:rPr>
          <w:rFonts w:ascii="Garamond" w:hAnsi="Garamond"/>
          <w:sz w:val="22"/>
          <w:szCs w:val="22"/>
        </w:rPr>
      </w:pPr>
      <w:r>
        <w:rPr>
          <w:rFonts w:ascii="Garamond" w:hAnsi="Garamond"/>
          <w:sz w:val="22"/>
          <w:szCs w:val="22"/>
        </w:rPr>
        <w:instrText>2 Define and describe the condition of dyslexia.</w:instrText>
      </w:r>
    </w:p>
    <w:p w:rsidP="004777F1">
      <w:pPr>
        <w:ind w:left="540" w:hanging="180"/>
        <w:rPr>
          <w:rFonts w:ascii="Garamond" w:hAnsi="Garamond"/>
          <w:sz w:val="22"/>
          <w:szCs w:val="22"/>
        </w:rPr>
      </w:pPr>
      <w:r>
        <w:rPr>
          <w:rFonts w:ascii="Garamond" w:hAnsi="Garamond"/>
          <w:sz w:val="22"/>
          <w:szCs w:val="22"/>
        </w:rPr>
        <w:instrText>3 Identify what pediatric clinicians can do to help children with dyslexia thrive.</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Outline the important relationships between reading and health.</w:t>
      </w:r>
    </w:p>
    <w:p w:rsidP="004777F1">
      <w:pPr>
        <w:ind w:left="540" w:hanging="180"/>
        <w:rPr>
          <w:rFonts w:ascii="Garamond" w:hAnsi="Garamond"/>
          <w:sz w:val="22"/>
          <w:szCs w:val="22"/>
        </w:rPr>
      </w:pPr>
      <w:r>
        <w:rPr>
          <w:rFonts w:ascii="Garamond" w:hAnsi="Garamond"/>
          <w:sz w:val="22"/>
          <w:szCs w:val="22"/>
        </w:rPr>
        <w:t>2 Define and describe the condition of dyslexia.</w:t>
      </w:r>
    </w:p>
    <w:p w:rsidR="004777F1" w:rsidP="004777F1">
      <w:pPr>
        <w:ind w:left="540" w:hanging="180"/>
        <w:rPr>
          <w:rFonts w:ascii="Garamond" w:hAnsi="Garamond"/>
          <w:sz w:val="22"/>
          <w:szCs w:val="22"/>
        </w:rPr>
      </w:pPr>
      <w:r>
        <w:rPr>
          <w:rFonts w:ascii="Garamond" w:hAnsi="Garamond"/>
          <w:sz w:val="22"/>
          <w:szCs w:val="22"/>
        </w:rPr>
        <w:t>3 Identify what pediatric clinicians can do to help children with dyslexia thrive.</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12345316"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45143800"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