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H7A Spinal Tether Lunch n' Learn</w:instrText>
      </w:r>
      <w:r>
        <w:rPr>
          <w:rFonts w:ascii="Garamond" w:hAnsi="Garamond"/>
          <w:bCs/>
        </w:rPr>
        <w:instrText xml:space="preserve">" </w:instrText>
      </w:r>
      <w:r>
        <w:rPr>
          <w:rFonts w:ascii="Garamond" w:hAnsi="Garamond"/>
          <w:bCs/>
        </w:rPr>
        <w:fldChar w:fldCharType="separate"/>
      </w:r>
      <w:r>
        <w:rPr>
          <w:rFonts w:ascii="Garamond" w:hAnsi="Garamond"/>
          <w:bCs/>
        </w:rPr>
        <w:t>H7A Spinal Tether Lunch n' Learn</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2,</w:t>
      </w:r>
      <w:r>
        <w:rPr>
          <w:rFonts w:ascii="Garamond" w:hAnsi="Garamond"/>
          <w:bCs/>
        </w:rPr>
        <w:t xml:space="preserve"> 2026 - 1:30 PM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Goodwin,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Fee-Highridge Medical|Consulting Fee-VB Spine|Consulting Fee-Mighty Oak Medical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Seilhamer,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 J Shomo, MS, APRN, CPNP-BC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- 03/03/2026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1 Discuss appropriate post-operative nursing care for patients who have undergone spinal tethering.</w:instrText>
      </w:r>
    </w:p>
    <w:p w:rsidR="004777F1" w:rsidP="004777F1">
      <w:pPr>
        <w:ind w:left="540" w:hanging="180"/>
        <w:rPr>
          <w:rFonts w:ascii="Garamond" w:hAnsi="Garamond"/>
          <w:sz w:val="22"/>
          <w:szCs w:val="22"/>
        </w:rPr>
      </w:pPr>
      <w:r>
        <w:rPr>
          <w:rFonts w:ascii="Garamond" w:hAnsi="Garamond"/>
          <w:sz w:val="22"/>
          <w:szCs w:val="22"/>
        </w:rPr>
        <w:instrText>2 Prioritize key assessment findings consistent with expected post-operative presentations in spinal tether patients.</w:instrText>
      </w:r>
    </w:p>
    <w:p w:rsidR="004777F1" w:rsidP="004777F1">
      <w:pPr>
        <w:ind w:left="540" w:hanging="180"/>
        <w:rPr>
          <w:rFonts w:ascii="Garamond" w:hAnsi="Garamond"/>
          <w:sz w:val="22"/>
          <w:szCs w:val="22"/>
        </w:rPr>
      </w:pPr>
      <w:r>
        <w:rPr>
          <w:rFonts w:ascii="Garamond" w:hAnsi="Garamond"/>
          <w:sz w:val="22"/>
          <w:szCs w:val="22"/>
        </w:rPr>
        <w:instrText>3 Describe the spinal tether surgical procedure, including its purpose and essential steps.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Discuss appropriate post-operative nursing care for patients who have undergone spinal tethering.</w:instrText>
      </w:r>
    </w:p>
    <w:p w:rsidP="004777F1">
      <w:pPr>
        <w:ind w:left="540" w:hanging="180"/>
        <w:rPr>
          <w:rFonts w:ascii="Garamond" w:hAnsi="Garamond"/>
          <w:sz w:val="22"/>
          <w:szCs w:val="22"/>
        </w:rPr>
      </w:pPr>
      <w:r>
        <w:rPr>
          <w:rFonts w:ascii="Garamond" w:hAnsi="Garamond"/>
          <w:sz w:val="22"/>
          <w:szCs w:val="22"/>
        </w:rPr>
        <w:instrText>2 Prioritize key assessment findings consistent with expected post-operative presentations in spinal tether patients.</w:instrText>
      </w:r>
    </w:p>
    <w:p w:rsidP="004777F1">
      <w:pPr>
        <w:ind w:left="540" w:hanging="180"/>
        <w:rPr>
          <w:rFonts w:ascii="Garamond" w:hAnsi="Garamond"/>
          <w:sz w:val="22"/>
          <w:szCs w:val="22"/>
        </w:rPr>
      </w:pPr>
      <w:r>
        <w:rPr>
          <w:rFonts w:ascii="Garamond" w:hAnsi="Garamond"/>
          <w:sz w:val="22"/>
          <w:szCs w:val="22"/>
        </w:rPr>
        <w:instrText>3 Describe the spinal tether surgical procedure, including its purpose and essential steps.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rPr>
      </w:pPr>
      <w:r>
        <w:rPr>
          <w:rFonts w:ascii="Garamond" w:hAnsi="Garamond"/>
          <w:b/>
          <w:bCs/>
        </w:rPr>
        <w:t>ANCC Learning Outcomes:</w: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Discuss appropriate post-operative nursing care for patients who have undergone spinal tethering.</w:t>
      </w:r>
    </w:p>
    <w:p w:rsidP="004777F1">
      <w:pPr>
        <w:ind w:left="540" w:hanging="180"/>
        <w:rPr>
          <w:rFonts w:ascii="Garamond" w:hAnsi="Garamond"/>
          <w:sz w:val="22"/>
          <w:szCs w:val="22"/>
        </w:rPr>
      </w:pPr>
      <w:r>
        <w:rPr>
          <w:rFonts w:ascii="Garamond" w:hAnsi="Garamond"/>
          <w:sz w:val="22"/>
          <w:szCs w:val="22"/>
        </w:rPr>
        <w:t>2 Prioritize key assessment findings consistent with expected post-operative presentations in spinal tether patients.</w:t>
      </w:r>
    </w:p>
    <w:p w:rsidR="004777F1" w:rsidP="004777F1">
      <w:pPr>
        <w:ind w:left="540" w:hanging="180"/>
        <w:rPr>
          <w:rFonts w:ascii="Garamond" w:hAnsi="Garamond"/>
          <w:sz w:val="22"/>
          <w:szCs w:val="22"/>
        </w:rPr>
      </w:pPr>
      <w:r>
        <w:rPr>
          <w:rFonts w:ascii="Garamond" w:hAnsi="Garamond"/>
          <w:sz w:val="22"/>
          <w:szCs w:val="22"/>
        </w:rPr>
        <w:t>3 Describe the spinal tether surgical procedure, including its purpose and essential steps.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0.50</w:instrText>
      </w:r>
      <w:r>
        <w:rPr>
          <w:sz w:val="20"/>
          <w:szCs w:val="20"/>
        </w:rPr>
        <w:instrText xml:space="preserve"> &gt; 0 "(</w:instrText>
      </w:r>
      <w:r>
        <w:rPr>
          <w:sz w:val="20"/>
          <w:szCs w:val="20"/>
        </w:rPr>
        <w:instrText>0.50</w:instrText>
      </w:r>
      <w:r>
        <w:rPr>
          <w:sz w:val="20"/>
          <w:szCs w:val="20"/>
        </w:rPr>
        <w:instrText xml:space="preserve"> ANCC contact hour(s)) " "" </w:instrText>
      </w:r>
      <w:r>
        <w:rPr>
          <w:sz w:val="20"/>
          <w:szCs w:val="20"/>
        </w:rPr>
        <w:fldChar w:fldCharType="separate"/>
      </w:r>
      <w:r>
        <w:rPr>
          <w:sz w:val="20"/>
          <w:szCs w:val="20"/>
        </w:rPr>
        <w:t>(</w:t>
      </w:r>
      <w:r>
        <w:rPr>
          <w:sz w:val="20"/>
          <w:szCs w:val="20"/>
        </w:rPr>
        <w:t>0.50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