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Measurement-Based Care (MBC): How, When, and Why It Supports Clinical Practice Home Study (#54720)</w:instrText>
      </w:r>
      <w:r>
        <w:rPr>
          <w:rFonts w:ascii="Garamond" w:hAnsi="Garamond"/>
          <w:bCs/>
        </w:rPr>
        <w:instrText xml:space="preserve">" </w:instrText>
      </w:r>
      <w:r>
        <w:rPr>
          <w:rFonts w:ascii="Garamond" w:hAnsi="Garamond"/>
          <w:bCs/>
        </w:rPr>
        <w:fldChar w:fldCharType="separate"/>
      </w:r>
      <w:r>
        <w:rPr>
          <w:rFonts w:ascii="Garamond" w:hAnsi="Garamond"/>
          <w:bCs/>
        </w:rPr>
        <w:t>BH Education: Measurement-Based Care (MBC): How, When, and Why It Supports Clinical Practice Home Study (#54720)</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6,</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Alexandra Smith,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purpose of measurement-based care to support clinical practice.</w:instrText>
      </w:r>
    </w:p>
    <w:p w:rsidR="004777F1">
      <w:pPr>
        <w:bidi w:val="0"/>
        <w:spacing w:after="280" w:afterAutospacing="1"/>
        <w:rPr>
          <w:rFonts w:ascii="Garamond" w:hAnsi="Garamond"/>
          <w:sz w:val="22"/>
          <w:szCs w:val="22"/>
        </w:rPr>
      </w:pPr>
      <w:r>
        <w:rPr>
          <w:rFonts w:ascii="Garamond" w:hAnsi="Garamond"/>
          <w:sz w:val="22"/>
          <w:szCs w:val="22"/>
        </w:rPr>
        <w:instrText>2 Utilize quantitative tools to support conceptualization, progress-monitoring, and discharge decision-making in their clinical practice. </w:instrText>
      </w:r>
    </w:p>
    <w:p w:rsidR="004777F1">
      <w:pPr>
        <w:bidi w:val="0"/>
        <w:spacing w:after="280" w:afterAutospacing="1"/>
        <w:rPr>
          <w:rFonts w:ascii="Garamond" w:hAnsi="Garamond"/>
          <w:sz w:val="22"/>
          <w:szCs w:val="22"/>
        </w:rPr>
      </w:pPr>
      <w:r>
        <w:rPr>
          <w:rFonts w:ascii="Garamond" w:hAnsi="Garamond"/>
          <w:sz w:val="22"/>
          <w:szCs w:val="22"/>
        </w:rPr>
        <w:instrText>3 Assess the strengths and limitations of MBC. </w:instrText>
      </w:r>
    </w:p>
    <w:p w:rsidR="004777F1">
      <w:pPr>
        <w:bidi w:val="0"/>
        <w:spacing w:after="280" w:afterAutospacing="1"/>
        <w:rPr>
          <w:rFonts w:ascii="Garamond" w:hAnsi="Garamond"/>
          <w:sz w:val="22"/>
          <w:szCs w:val="22"/>
        </w:rPr>
      </w:pPr>
      <w:r>
        <w:rPr>
          <w:rFonts w:ascii="Garamond" w:hAnsi="Garamond"/>
          <w:sz w:val="22"/>
          <w:szCs w:val="22"/>
        </w:rPr>
        <w:instrText>4 Improve collaboration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purpose of measurement-based care to support clinical practice.</w:instrText>
      </w:r>
    </w:p>
    <w:p w:rsidP="004777F1">
      <w:pPr>
        <w:ind w:left="540" w:hanging="180"/>
        <w:rPr>
          <w:rFonts w:ascii="Garamond" w:hAnsi="Garamond"/>
          <w:sz w:val="22"/>
          <w:szCs w:val="22"/>
        </w:rPr>
      </w:pPr>
      <w:r>
        <w:rPr>
          <w:rFonts w:ascii="Garamond" w:hAnsi="Garamond"/>
          <w:sz w:val="22"/>
          <w:szCs w:val="22"/>
        </w:rPr>
        <w:instrText>2 Utilize quantitative tools to support conceptualization, progress-monitoring, and discharge decision-making in their clinical practice. </w:instrText>
      </w:r>
    </w:p>
    <w:p w:rsidP="004777F1">
      <w:pPr>
        <w:ind w:left="540" w:hanging="180"/>
        <w:rPr>
          <w:rFonts w:ascii="Garamond" w:hAnsi="Garamond"/>
          <w:sz w:val="22"/>
          <w:szCs w:val="22"/>
        </w:rPr>
      </w:pPr>
      <w:r>
        <w:rPr>
          <w:rFonts w:ascii="Garamond" w:hAnsi="Garamond"/>
          <w:sz w:val="22"/>
          <w:szCs w:val="22"/>
        </w:rPr>
        <w:instrText>3 Assess the strengths and limitations of MBC. </w:instrText>
      </w:r>
    </w:p>
    <w:p w:rsidP="004777F1">
      <w:pPr>
        <w:ind w:left="540" w:hanging="180"/>
        <w:rPr>
          <w:rFonts w:ascii="Garamond" w:hAnsi="Garamond"/>
          <w:sz w:val="22"/>
          <w:szCs w:val="22"/>
        </w:rPr>
      </w:pPr>
      <w:r>
        <w:rPr>
          <w:rFonts w:ascii="Garamond" w:hAnsi="Garamond"/>
          <w:sz w:val="22"/>
          <w:szCs w:val="22"/>
        </w:rPr>
        <w:instrText>4 Improve collaboration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purpose of measurement-based care to support clinical practice.</w:t>
      </w:r>
    </w:p>
    <w:p w:rsidP="004777F1">
      <w:pPr>
        <w:ind w:left="540" w:hanging="180"/>
        <w:rPr>
          <w:rFonts w:ascii="Garamond" w:hAnsi="Garamond"/>
          <w:sz w:val="22"/>
          <w:szCs w:val="22"/>
        </w:rPr>
      </w:pPr>
      <w:r>
        <w:rPr>
          <w:rFonts w:ascii="Garamond" w:hAnsi="Garamond"/>
          <w:sz w:val="22"/>
          <w:szCs w:val="22"/>
        </w:rPr>
        <w:t>2 Utilize quantitative tools to support conceptualization, progress-monitoring, and discharge decision-making in their clinical practice. </w:t>
      </w:r>
    </w:p>
    <w:p w:rsidP="004777F1">
      <w:pPr>
        <w:ind w:left="540" w:hanging="180"/>
        <w:rPr>
          <w:rFonts w:ascii="Garamond" w:hAnsi="Garamond"/>
          <w:sz w:val="22"/>
          <w:szCs w:val="22"/>
        </w:rPr>
      </w:pPr>
      <w:r>
        <w:rPr>
          <w:rFonts w:ascii="Garamond" w:hAnsi="Garamond"/>
          <w:sz w:val="22"/>
          <w:szCs w:val="22"/>
        </w:rPr>
        <w:t>3 Assess the strengths and limitations of MBC. </w:t>
      </w:r>
    </w:p>
    <w:p w:rsidR="004777F1" w:rsidP="004777F1">
      <w:pPr>
        <w:ind w:left="540" w:hanging="180"/>
        <w:rPr>
          <w:rFonts w:ascii="Garamond" w:hAnsi="Garamond"/>
          <w:sz w:val="22"/>
          <w:szCs w:val="22"/>
        </w:rPr>
      </w:pPr>
      <w:r>
        <w:rPr>
          <w:rFonts w:ascii="Garamond" w:hAnsi="Garamond"/>
          <w:sz w:val="22"/>
          <w:szCs w:val="22"/>
        </w:rPr>
        <w:t>4 Improve collaboration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22394419"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801285592"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