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118 - Evaluation of Febrile Infants 61-90 Days of Age</w:instrText>
      </w:r>
      <w:r>
        <w:rPr>
          <w:rFonts w:ascii="Garamond" w:hAnsi="Garamond"/>
          <w:bCs/>
        </w:rPr>
        <w:instrText xml:space="preserve">" </w:instrText>
      </w:r>
      <w:r>
        <w:rPr>
          <w:rFonts w:ascii="Garamond" w:hAnsi="Garamond"/>
          <w:bCs/>
        </w:rPr>
        <w:fldChar w:fldCharType="separate"/>
      </w:r>
      <w:r>
        <w:rPr>
          <w:rFonts w:ascii="Garamond" w:hAnsi="Garamond"/>
          <w:bCs/>
        </w:rPr>
        <w:t>PediaCast CME 118 - Evaluation of Febrile Infants 61-90 Days of Age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10,</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L Aronson,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Kuppermann, MD, MPH, EVP, Chief Academic Officer and Chair of Pediatrics, Childrens National Hospital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risk of invasive bacterial infections in febrile infants who are 61–90 days old.</w:instrText>
      </w:r>
    </w:p>
    <w:p w:rsidR="004777F1">
      <w:pPr>
        <w:bidi w:val="0"/>
        <w:spacing w:after="280" w:afterAutospacing="1"/>
        <w:rPr>
          <w:rFonts w:ascii="Garamond" w:hAnsi="Garamond"/>
          <w:sz w:val="22"/>
          <w:szCs w:val="22"/>
        </w:rPr>
      </w:pPr>
      <w:r>
        <w:rPr>
          <w:rFonts w:ascii="Garamond" w:hAnsi="Garamond"/>
          <w:sz w:val="22"/>
          <w:szCs w:val="22"/>
        </w:rPr>
        <w:instrText>2 Compare risk-stratification strategies with and without blood testing in this age group.</w:instrText>
      </w:r>
    </w:p>
    <w:p w:rsidR="004777F1">
      <w:pPr>
        <w:bidi w:val="0"/>
        <w:spacing w:after="280" w:afterAutospacing="1"/>
        <w:rPr>
          <w:rFonts w:ascii="Garamond" w:hAnsi="Garamond"/>
          <w:sz w:val="22"/>
          <w:szCs w:val="22"/>
        </w:rPr>
      </w:pPr>
      <w:r>
        <w:rPr>
          <w:rFonts w:ascii="Garamond" w:hAnsi="Garamond"/>
          <w:sz w:val="22"/>
          <w:szCs w:val="22"/>
        </w:rPr>
        <w:instrText>3 Interpret sensitivity and specificity data from PECARN-based clinical decision rules.</w:instrText>
      </w:r>
    </w:p>
    <w:p w:rsidR="004777F1">
      <w:pPr>
        <w:bidi w:val="0"/>
        <w:spacing w:after="280" w:afterAutospacing="1"/>
        <w:rPr>
          <w:rFonts w:ascii="Garamond" w:hAnsi="Garamond"/>
          <w:sz w:val="22"/>
          <w:szCs w:val="22"/>
        </w:rPr>
      </w:pPr>
      <w:r>
        <w:rPr>
          <w:rFonts w:ascii="Garamond" w:hAnsi="Garamond"/>
          <w:sz w:val="22"/>
          <w:szCs w:val="22"/>
        </w:rPr>
        <w:instrText>4 Apply evidence-based risk-stratification to clinical decision-making for these febrile infants.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risk of invasive bacterial infections in febrile infants who are 61–90 days old.</w:instrText>
      </w:r>
    </w:p>
    <w:p w:rsidP="004777F1">
      <w:pPr>
        <w:ind w:left="540" w:hanging="180"/>
        <w:rPr>
          <w:rFonts w:ascii="Garamond" w:hAnsi="Garamond"/>
          <w:sz w:val="22"/>
          <w:szCs w:val="22"/>
        </w:rPr>
      </w:pPr>
      <w:r>
        <w:rPr>
          <w:rFonts w:ascii="Garamond" w:hAnsi="Garamond"/>
          <w:sz w:val="22"/>
          <w:szCs w:val="22"/>
        </w:rPr>
        <w:instrText>2 Compare risk-stratification strategies with and without blood testing in this age group.</w:instrText>
      </w:r>
    </w:p>
    <w:p w:rsidP="004777F1">
      <w:pPr>
        <w:ind w:left="540" w:hanging="180"/>
        <w:rPr>
          <w:rFonts w:ascii="Garamond" w:hAnsi="Garamond"/>
          <w:sz w:val="22"/>
          <w:szCs w:val="22"/>
        </w:rPr>
      </w:pPr>
      <w:r>
        <w:rPr>
          <w:rFonts w:ascii="Garamond" w:hAnsi="Garamond"/>
          <w:sz w:val="22"/>
          <w:szCs w:val="22"/>
        </w:rPr>
        <w:instrText>3 Interpret sensitivity and specificity data from PECARN-based clinical decision rules.</w:instrText>
      </w:r>
    </w:p>
    <w:p w:rsidP="004777F1">
      <w:pPr>
        <w:ind w:left="540" w:hanging="180"/>
        <w:rPr>
          <w:rFonts w:ascii="Garamond" w:hAnsi="Garamond"/>
          <w:sz w:val="22"/>
          <w:szCs w:val="22"/>
        </w:rPr>
      </w:pPr>
      <w:r>
        <w:rPr>
          <w:rFonts w:ascii="Garamond" w:hAnsi="Garamond"/>
          <w:sz w:val="22"/>
          <w:szCs w:val="22"/>
        </w:rPr>
        <w:instrText>4 Apply evidence-based risk-stratification to clinical decision-making for these febrile infants.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risk of invasive bacterial infections in febrile infants who are 61–90 days old.</w:t>
      </w:r>
    </w:p>
    <w:p w:rsidP="004777F1">
      <w:pPr>
        <w:ind w:left="540" w:hanging="180"/>
        <w:rPr>
          <w:rFonts w:ascii="Garamond" w:hAnsi="Garamond"/>
          <w:sz w:val="22"/>
          <w:szCs w:val="22"/>
        </w:rPr>
      </w:pPr>
      <w:r>
        <w:rPr>
          <w:rFonts w:ascii="Garamond" w:hAnsi="Garamond"/>
          <w:sz w:val="22"/>
          <w:szCs w:val="22"/>
        </w:rPr>
        <w:t>2 Compare risk-stratification strategies with and without blood testing in this age group.</w:t>
      </w:r>
    </w:p>
    <w:p w:rsidP="004777F1">
      <w:pPr>
        <w:ind w:left="540" w:hanging="180"/>
        <w:rPr>
          <w:rFonts w:ascii="Garamond" w:hAnsi="Garamond"/>
          <w:sz w:val="22"/>
          <w:szCs w:val="22"/>
        </w:rPr>
      </w:pPr>
      <w:r>
        <w:rPr>
          <w:rFonts w:ascii="Garamond" w:hAnsi="Garamond"/>
          <w:sz w:val="22"/>
          <w:szCs w:val="22"/>
        </w:rPr>
        <w:t>3 Interpret sensitivity and specificity data from PECARN-based clinical decision rules.</w:t>
      </w:r>
    </w:p>
    <w:p w:rsidR="004777F1" w:rsidP="004777F1">
      <w:pPr>
        <w:ind w:left="540" w:hanging="180"/>
        <w:rPr>
          <w:rFonts w:ascii="Garamond" w:hAnsi="Garamond"/>
          <w:sz w:val="22"/>
          <w:szCs w:val="22"/>
        </w:rPr>
      </w:pPr>
      <w:r>
        <w:rPr>
          <w:rFonts w:ascii="Garamond" w:hAnsi="Garamond"/>
          <w:sz w:val="22"/>
          <w:szCs w:val="22"/>
        </w:rPr>
        <w:t>4 Apply evidence-based risk-stratification to clinical decision-making for these febrile infants.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68222362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4002868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335882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255927120"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