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BH Education: Understanding Non-Suicidal Self Injury (NSSI) Home Study (#54672)</w:instrText>
      </w:r>
      <w:r>
        <w:rPr>
          <w:rFonts w:ascii="Garamond" w:hAnsi="Garamond"/>
          <w:bCs/>
        </w:rPr>
        <w:instrText xml:space="preserve">" </w:instrText>
      </w:r>
      <w:r>
        <w:rPr>
          <w:rFonts w:ascii="Garamond" w:hAnsi="Garamond"/>
          <w:bCs/>
        </w:rPr>
        <w:fldChar w:fldCharType="separate"/>
      </w:r>
      <w:r>
        <w:rPr>
          <w:rFonts w:ascii="Garamond" w:hAnsi="Garamond"/>
          <w:bCs/>
        </w:rPr>
        <w:t>BH Education: Understanding Non-Suicidal Self Injury (NSSI) Home Study (#54672)</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March 27,</w:t>
      </w:r>
      <w:r>
        <w:rPr>
          <w:rFonts w:ascii="Garamond" w:hAnsi="Garamond"/>
          <w:bCs/>
        </w:rPr>
        <w:t xml:space="preserve"> 2026 - 8:00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Allison DePoy, LISW-S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Miller, LPCC, E.2303469</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Reese, PsyD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- 09/24/2025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 xml:space="preserve">1 Define NSSI and the current understanding of its etiology  </w:instrText>
      </w:r>
    </w:p>
    <w:p w:rsidR="004777F1">
      <w:pPr>
        <w:bidi w:val="0"/>
        <w:spacing w:after="280" w:afterAutospacing="1"/>
        <w:rPr>
          <w:rFonts w:ascii="Garamond" w:hAnsi="Garamond"/>
          <w:sz w:val="22"/>
          <w:szCs w:val="22"/>
        </w:rPr>
      </w:pPr>
      <w:r>
        <w:rPr>
          <w:rFonts w:ascii="Garamond" w:hAnsi="Garamond"/>
          <w:sz w:val="22"/>
          <w:szCs w:val="22"/>
        </w:rPr>
        <w:instrText xml:space="preserve">2 Identify steps and strategies for interventions to support youth and families </w:instrText>
      </w:r>
    </w:p>
    <w:p w:rsidR="004777F1">
      <w:pPr>
        <w:bidi w:val="0"/>
        <w:spacing w:after="280" w:afterAutospacing="1"/>
        <w:rPr>
          <w:rFonts w:ascii="Garamond" w:hAnsi="Garamond"/>
          <w:sz w:val="22"/>
          <w:szCs w:val="22"/>
        </w:rPr>
      </w:pPr>
      <w:r>
        <w:rPr>
          <w:rFonts w:ascii="Garamond" w:hAnsi="Garamond"/>
          <w:sz w:val="22"/>
          <w:szCs w:val="22"/>
        </w:rPr>
        <w:instrText xml:space="preserve">3 Analyze case examples to explore the nuances of practical application of recommendations. </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 xml:space="preserve">1 Define NSSI and the current understanding of its etiology  </w:instrText>
      </w:r>
    </w:p>
    <w:p w:rsidP="004777F1">
      <w:pPr>
        <w:ind w:left="540" w:hanging="180"/>
        <w:rPr>
          <w:rFonts w:ascii="Garamond" w:hAnsi="Garamond"/>
          <w:sz w:val="22"/>
          <w:szCs w:val="22"/>
        </w:rPr>
      </w:pPr>
      <w:r>
        <w:rPr>
          <w:rFonts w:ascii="Garamond" w:hAnsi="Garamond"/>
          <w:sz w:val="22"/>
          <w:szCs w:val="22"/>
        </w:rPr>
        <w:instrText xml:space="preserve">2 Identify steps and strategies for interventions to support youth and families </w:instrText>
      </w:r>
    </w:p>
    <w:p w:rsidP="004777F1">
      <w:pPr>
        <w:ind w:left="540" w:hanging="180"/>
        <w:rPr>
          <w:rFonts w:ascii="Garamond" w:hAnsi="Garamond"/>
          <w:sz w:val="22"/>
          <w:szCs w:val="22"/>
        </w:rPr>
      </w:pPr>
      <w:r>
        <w:rPr>
          <w:rFonts w:ascii="Garamond" w:hAnsi="Garamond"/>
          <w:sz w:val="22"/>
          <w:szCs w:val="22"/>
        </w:rPr>
        <w:instrText xml:space="preserve">3 Analyze case examples to explore the nuances of practical application of recommendations. </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 xml:space="preserve">1 Define NSSI and the current understanding of its etiology  </w:t>
      </w:r>
    </w:p>
    <w:p w:rsidP="004777F1">
      <w:pPr>
        <w:ind w:left="540" w:hanging="180"/>
        <w:rPr>
          <w:rFonts w:ascii="Garamond" w:hAnsi="Garamond"/>
          <w:sz w:val="22"/>
          <w:szCs w:val="22"/>
        </w:rPr>
      </w:pPr>
      <w:r>
        <w:rPr>
          <w:rFonts w:ascii="Garamond" w:hAnsi="Garamond"/>
          <w:sz w:val="22"/>
          <w:szCs w:val="22"/>
        </w:rPr>
        <w:t xml:space="preserve">2 Identify steps and strategies for interventions to support youth and families </w:t>
      </w:r>
    </w:p>
    <w:p w:rsidR="004777F1" w:rsidP="004777F1">
      <w:pPr>
        <w:ind w:left="540" w:hanging="180"/>
        <w:rPr>
          <w:rFonts w:ascii="Garamond" w:hAnsi="Garamond"/>
          <w:sz w:val="22"/>
          <w:szCs w:val="22"/>
        </w:rPr>
      </w:pPr>
      <w:r>
        <w:rPr>
          <w:rFonts w:ascii="Garamond" w:hAnsi="Garamond"/>
          <w:sz w:val="22"/>
          <w:szCs w:val="22"/>
        </w:rPr>
        <w:t xml:space="preserve">3 Analyze case examples to explore the nuances of practical application of recommendations. </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ANCCHoursMax \# 0.00# </w:instrText>
      </w:r>
      <w:r>
        <w:rPr>
          <w:sz w:val="20"/>
          <w:szCs w:val="20"/>
        </w:rPr>
        <w:fldChar w:fldCharType="separate"/>
      </w:r>
      <w:r>
        <w:rPr>
          <w:sz w:val="20"/>
          <w:szCs w:val="20"/>
        </w:rPr>
        <w:fldChar w:fldCharType="end"/>
      </w:r>
      <w:r>
        <w:rPr>
          <w:sz w:val="20"/>
          <w:szCs w:val="20"/>
        </w:rPr>
        <w:instrText xml:space="preserve"> ANCC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1.50</w:instrText>
      </w:r>
      <w:r>
        <w:rPr>
          <w:sz w:val="20"/>
          <w:szCs w:val="20"/>
        </w:rPr>
        <w:instrText xml:space="preserve"> &gt; 0 "(</w:instrText>
      </w:r>
      <w:r>
        <w:rPr>
          <w:sz w:val="20"/>
          <w:szCs w:val="20"/>
        </w:rPr>
        <w:instrText>1.50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1.50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1.50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1.50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0.00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1.50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1.50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47494401"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1.50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1.50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1.50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101358433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1.50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