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19,</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From Dispensary to Convenience Store: Trending Intoxicating Substances by Alek Adkins,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From Dispensary to Convenience Store: Trending Intoxicating Substances by Alek Adkins,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Alek Adkins,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Explain current trending “legal” highs.</w:instrText>
      </w:r>
    </w:p>
    <w:p w:rsidR="004777F1">
      <w:pPr>
        <w:bidi w:val="0"/>
        <w:spacing w:after="280" w:afterAutospacing="1"/>
        <w:rPr>
          <w:rFonts w:ascii="Garamond" w:hAnsi="Garamond"/>
          <w:sz w:val="22"/>
          <w:szCs w:val="22"/>
        </w:rPr>
      </w:pPr>
      <w:r>
        <w:rPr>
          <w:rFonts w:ascii="Garamond" w:hAnsi="Garamond"/>
          <w:sz w:val="22"/>
          <w:szCs w:val="22"/>
        </w:rPr>
        <w:instrText>2 Identify how these intoxicating substances present.</w:instrText>
      </w:r>
    </w:p>
    <w:p w:rsidR="004777F1">
      <w:pPr>
        <w:bidi w:val="0"/>
        <w:spacing w:after="280" w:afterAutospacing="1"/>
        <w:rPr>
          <w:rFonts w:ascii="Garamond" w:hAnsi="Garamond"/>
          <w:sz w:val="22"/>
          <w:szCs w:val="22"/>
        </w:rPr>
      </w:pPr>
      <w:r>
        <w:rPr>
          <w:rFonts w:ascii="Garamond" w:hAnsi="Garamond"/>
          <w:sz w:val="22"/>
          <w:szCs w:val="22"/>
        </w:rPr>
        <w:instrText>3 Outline necessary clinical knowledge to safely treat patients.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Explain current trending “legal” highs.</w:instrText>
      </w:r>
    </w:p>
    <w:p w:rsidP="004777F1">
      <w:pPr>
        <w:ind w:left="540" w:hanging="180"/>
        <w:rPr>
          <w:rFonts w:ascii="Garamond" w:hAnsi="Garamond"/>
          <w:sz w:val="22"/>
          <w:szCs w:val="22"/>
        </w:rPr>
      </w:pPr>
      <w:r>
        <w:rPr>
          <w:rFonts w:ascii="Garamond" w:hAnsi="Garamond"/>
          <w:sz w:val="22"/>
          <w:szCs w:val="22"/>
        </w:rPr>
        <w:instrText>2 Identify how these intoxicating substances present.</w:instrText>
      </w:r>
    </w:p>
    <w:p w:rsidP="004777F1">
      <w:pPr>
        <w:ind w:left="540" w:hanging="180"/>
        <w:rPr>
          <w:rFonts w:ascii="Garamond" w:hAnsi="Garamond"/>
          <w:sz w:val="22"/>
          <w:szCs w:val="22"/>
        </w:rPr>
      </w:pPr>
      <w:r>
        <w:rPr>
          <w:rFonts w:ascii="Garamond" w:hAnsi="Garamond"/>
          <w:sz w:val="22"/>
          <w:szCs w:val="22"/>
        </w:rPr>
        <w:instrText>3 Outline necessary clinical knowledge to safely treat patients.</w:instrText>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t>&lt;&gt;</w:t>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99195531"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97088214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