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117 - School Avoidance: Helping Kids Get Back to the Classroom</w:instrText>
      </w:r>
      <w:r>
        <w:rPr>
          <w:rFonts w:ascii="Garamond" w:hAnsi="Garamond"/>
          <w:bCs/>
        </w:rPr>
        <w:instrText xml:space="preserve">" </w:instrText>
      </w:r>
      <w:r>
        <w:rPr>
          <w:rFonts w:ascii="Garamond" w:hAnsi="Garamond"/>
          <w:bCs/>
        </w:rPr>
        <w:fldChar w:fldCharType="separate"/>
      </w:r>
      <w:r>
        <w:rPr>
          <w:rFonts w:ascii="Garamond" w:hAnsi="Garamond"/>
          <w:bCs/>
        </w:rPr>
        <w:t>PediaCast CME 117 - School Avoidance: Helping Kids Get Back to the Classroom</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24,</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M Vickery,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school avoidance and distinguish it from truancy</w:instrText>
      </w:r>
    </w:p>
    <w:p w:rsidR="004777F1">
      <w:pPr>
        <w:bidi w:val="0"/>
        <w:spacing w:after="280" w:afterAutospacing="1"/>
        <w:rPr>
          <w:rFonts w:ascii="Garamond" w:hAnsi="Garamond"/>
          <w:sz w:val="22"/>
          <w:szCs w:val="22"/>
        </w:rPr>
      </w:pPr>
      <w:r>
        <w:rPr>
          <w:rFonts w:ascii="Garamond" w:hAnsi="Garamond"/>
          <w:sz w:val="22"/>
          <w:szCs w:val="22"/>
        </w:rPr>
        <w:instrText>2 Identify common psychological conditions associated with school avoidance</w:instrText>
      </w:r>
    </w:p>
    <w:p w:rsidR="004777F1">
      <w:pPr>
        <w:bidi w:val="0"/>
        <w:spacing w:after="280" w:afterAutospacing="1"/>
        <w:rPr>
          <w:rFonts w:ascii="Garamond" w:hAnsi="Garamond"/>
          <w:sz w:val="22"/>
          <w:szCs w:val="22"/>
        </w:rPr>
      </w:pPr>
      <w:r>
        <w:rPr>
          <w:rFonts w:ascii="Garamond" w:hAnsi="Garamond"/>
          <w:sz w:val="22"/>
          <w:szCs w:val="22"/>
        </w:rPr>
        <w:instrText>3 Apply a team-based assessment approach to children with school avoidance</w:instrText>
      </w:r>
    </w:p>
    <w:p w:rsidR="004777F1">
      <w:pPr>
        <w:bidi w:val="0"/>
        <w:spacing w:after="280" w:afterAutospacing="1"/>
        <w:rPr>
          <w:rFonts w:ascii="Garamond" w:hAnsi="Garamond"/>
          <w:sz w:val="22"/>
          <w:szCs w:val="22"/>
        </w:rPr>
      </w:pPr>
      <w:r>
        <w:rPr>
          <w:rFonts w:ascii="Garamond" w:hAnsi="Garamond"/>
          <w:sz w:val="22"/>
          <w:szCs w:val="22"/>
        </w:rPr>
        <w:instrText>4 Select evidence-based treatment and relapse-prevention strategies for school avoidance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school avoidance and distinguish it from truancy</w:instrText>
      </w:r>
    </w:p>
    <w:p w:rsidP="004777F1">
      <w:pPr>
        <w:ind w:left="540" w:hanging="180"/>
        <w:rPr>
          <w:rFonts w:ascii="Garamond" w:hAnsi="Garamond"/>
          <w:sz w:val="22"/>
          <w:szCs w:val="22"/>
        </w:rPr>
      </w:pPr>
      <w:r>
        <w:rPr>
          <w:rFonts w:ascii="Garamond" w:hAnsi="Garamond"/>
          <w:sz w:val="22"/>
          <w:szCs w:val="22"/>
        </w:rPr>
        <w:instrText>2 Identify common psychological conditions associated with school avoidance</w:instrText>
      </w:r>
    </w:p>
    <w:p w:rsidP="004777F1">
      <w:pPr>
        <w:ind w:left="540" w:hanging="180"/>
        <w:rPr>
          <w:rFonts w:ascii="Garamond" w:hAnsi="Garamond"/>
          <w:sz w:val="22"/>
          <w:szCs w:val="22"/>
        </w:rPr>
      </w:pPr>
      <w:r>
        <w:rPr>
          <w:rFonts w:ascii="Garamond" w:hAnsi="Garamond"/>
          <w:sz w:val="22"/>
          <w:szCs w:val="22"/>
        </w:rPr>
        <w:instrText>3 Apply a team-based assessment approach to children with school avoidance</w:instrText>
      </w:r>
    </w:p>
    <w:p w:rsidP="004777F1">
      <w:pPr>
        <w:ind w:left="540" w:hanging="180"/>
        <w:rPr>
          <w:rFonts w:ascii="Garamond" w:hAnsi="Garamond"/>
          <w:sz w:val="22"/>
          <w:szCs w:val="22"/>
        </w:rPr>
      </w:pPr>
      <w:r>
        <w:rPr>
          <w:rFonts w:ascii="Garamond" w:hAnsi="Garamond"/>
          <w:sz w:val="22"/>
          <w:szCs w:val="22"/>
        </w:rPr>
        <w:instrText>4 Select evidence-based treatment and relapse-prevention strategies for school avoidance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school avoidance and distinguish it from truancy</w:t>
      </w:r>
    </w:p>
    <w:p w:rsidP="004777F1">
      <w:pPr>
        <w:ind w:left="540" w:hanging="180"/>
        <w:rPr>
          <w:rFonts w:ascii="Garamond" w:hAnsi="Garamond"/>
          <w:sz w:val="22"/>
          <w:szCs w:val="22"/>
        </w:rPr>
      </w:pPr>
      <w:r>
        <w:rPr>
          <w:rFonts w:ascii="Garamond" w:hAnsi="Garamond"/>
          <w:sz w:val="22"/>
          <w:szCs w:val="22"/>
        </w:rPr>
        <w:t>2 Identify common psychological conditions associated with school avoidance</w:t>
      </w:r>
    </w:p>
    <w:p w:rsidP="004777F1">
      <w:pPr>
        <w:ind w:left="540" w:hanging="180"/>
        <w:rPr>
          <w:rFonts w:ascii="Garamond" w:hAnsi="Garamond"/>
          <w:sz w:val="22"/>
          <w:szCs w:val="22"/>
        </w:rPr>
      </w:pPr>
      <w:r>
        <w:rPr>
          <w:rFonts w:ascii="Garamond" w:hAnsi="Garamond"/>
          <w:sz w:val="22"/>
          <w:szCs w:val="22"/>
        </w:rPr>
        <w:t>3 Apply a team-based assessment approach to children with school avoidance</w:t>
      </w:r>
    </w:p>
    <w:p w:rsidR="004777F1" w:rsidP="004777F1">
      <w:pPr>
        <w:ind w:left="540" w:hanging="180"/>
        <w:rPr>
          <w:rFonts w:ascii="Garamond" w:hAnsi="Garamond"/>
          <w:sz w:val="22"/>
          <w:szCs w:val="22"/>
        </w:rPr>
      </w:pPr>
      <w:r>
        <w:rPr>
          <w:rFonts w:ascii="Garamond" w:hAnsi="Garamond"/>
          <w:sz w:val="22"/>
          <w:szCs w:val="22"/>
        </w:rPr>
        <w:t>4 Select evidence-based treatment and relapse-prevention strategies for school avoidance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981453110"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91561250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204676131"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574099077"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