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47951</w:instrText>
      </w:r>
      <w:r>
        <w:rPr>
          <w:rFonts w:ascii="Garamond" w:hAnsi="Garamond"/>
          <w:bCs/>
        </w:rPr>
        <w:instrText xml:space="preserve"> &lt;&gt; "" "</w:instrText>
      </w:r>
      <w:r>
        <w:rPr>
          <w:rFonts w:ascii="Garamond" w:hAnsi="Garamond"/>
          <w:bCs/>
        </w:rPr>
        <w:instrText>2026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January 22,</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47951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2026 PGROD - Malice in Chains – Group A Streptococcus in the Post-COVID Era by Anthony Flores, MD, MPH, PhD, FPIDS</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2026 PGROD - Malice in Chains – Group A Streptococcus in the Post-COVID Era by Anthony Flores, MD, MPH, PhD, FPIDS</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Anthony Flores, MD, MPH, FPIDS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support-GlycosBio, Inc.|Royalties or Patent Beneficiary-UpToDate, Inc.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Garee,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Jenna Hatab,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Jiner,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LaLonde,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Lepley,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Nancy Liao,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Honoraria-Elsevier (Relationship has ended)|Honoraria-Springer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Muehl,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Newland, MD,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support-Merck (Relationship has ended)|Grant or research support-Pfizer (Relationship has ended) - 06/13/2025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Kehinde Obeto,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OBrien,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etc.-iECURE|Advisor-Hemab|Consulting Fee-AstraZeneca (Relationship has ended) - 10/11/2025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Phillips,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R Tibor,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Describe the common disease manifestations associated with Group A streptococcal (GAS) infections.</w:instrText>
      </w:r>
    </w:p>
    <w:p w:rsidR="004777F1">
      <w:pPr>
        <w:bidi w:val="0"/>
        <w:spacing w:after="280" w:afterAutospacing="1"/>
        <w:rPr>
          <w:rFonts w:ascii="Garamond" w:hAnsi="Garamond"/>
          <w:sz w:val="22"/>
          <w:szCs w:val="22"/>
        </w:rPr>
      </w:pPr>
      <w:r>
        <w:rPr>
          <w:rFonts w:ascii="Garamond" w:hAnsi="Garamond"/>
          <w:sz w:val="22"/>
          <w:szCs w:val="22"/>
        </w:rPr>
        <w:instrText>2 Discuss changes in GAS clinical and molecular epidemiology following the COVID-19 pandemic.</w:instrText>
      </w:r>
    </w:p>
    <w:p w:rsidR="004777F1">
      <w:pPr>
        <w:bidi w:val="0"/>
        <w:spacing w:after="280" w:afterAutospacing="1"/>
        <w:rPr>
          <w:rFonts w:ascii="Garamond" w:hAnsi="Garamond"/>
          <w:sz w:val="22"/>
          <w:szCs w:val="22"/>
        </w:rPr>
      </w:pPr>
      <w:r>
        <w:rPr>
          <w:rFonts w:ascii="Garamond" w:hAnsi="Garamond"/>
          <w:sz w:val="22"/>
          <w:szCs w:val="22"/>
        </w:rPr>
        <w:instrText>3 Summarize the changes in GAS susceptibility to second-line antimicrobials prior to and following the COVID-19 pandemic.</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Describe the common disease manifestations associated with Group A streptococcal (GAS) infections.</w:instrText>
      </w:r>
    </w:p>
    <w:p w:rsidP="004777F1">
      <w:pPr>
        <w:ind w:left="540" w:hanging="180"/>
        <w:rPr>
          <w:rFonts w:ascii="Garamond" w:hAnsi="Garamond"/>
          <w:sz w:val="22"/>
          <w:szCs w:val="22"/>
        </w:rPr>
      </w:pPr>
      <w:r>
        <w:rPr>
          <w:rFonts w:ascii="Garamond" w:hAnsi="Garamond"/>
          <w:sz w:val="22"/>
          <w:szCs w:val="22"/>
        </w:rPr>
        <w:instrText>2 Discuss changes in GAS clinical and molecular epidemiology following the COVID-19 pandemic.</w:instrText>
      </w:r>
    </w:p>
    <w:p w:rsidP="004777F1">
      <w:pPr>
        <w:ind w:left="540" w:hanging="180"/>
        <w:rPr>
          <w:rFonts w:ascii="Garamond" w:hAnsi="Garamond"/>
          <w:sz w:val="22"/>
          <w:szCs w:val="22"/>
        </w:rPr>
      </w:pPr>
      <w:r>
        <w:rPr>
          <w:rFonts w:ascii="Garamond" w:hAnsi="Garamond"/>
          <w:sz w:val="22"/>
          <w:szCs w:val="22"/>
        </w:rPr>
        <w:instrText>3 Summarize the changes in GAS susceptibility to second-line antimicrobials prior to and following the COVID-19 pandemic.</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Describe the common disease manifestations associated with Group A streptococcal (GAS) infections.</w:t>
      </w:r>
    </w:p>
    <w:p w:rsidP="004777F1">
      <w:pPr>
        <w:ind w:left="540" w:hanging="180"/>
        <w:rPr>
          <w:rFonts w:ascii="Garamond" w:hAnsi="Garamond"/>
          <w:sz w:val="22"/>
          <w:szCs w:val="22"/>
        </w:rPr>
      </w:pPr>
      <w:r>
        <w:rPr>
          <w:rFonts w:ascii="Garamond" w:hAnsi="Garamond"/>
          <w:sz w:val="22"/>
          <w:szCs w:val="22"/>
        </w:rPr>
        <w:t>2 Discuss changes in GAS clinical and molecular epidemiology following the COVID-19 pandemic.</w:t>
      </w:r>
    </w:p>
    <w:p w:rsidR="004777F1" w:rsidP="004777F1">
      <w:pPr>
        <w:ind w:left="540" w:hanging="180"/>
        <w:rPr>
          <w:rFonts w:ascii="Garamond" w:hAnsi="Garamond"/>
          <w:sz w:val="22"/>
          <w:szCs w:val="22"/>
        </w:rPr>
      </w:pPr>
      <w:r>
        <w:rPr>
          <w:rFonts w:ascii="Garamond" w:hAnsi="Garamond"/>
          <w:sz w:val="22"/>
          <w:szCs w:val="22"/>
        </w:rPr>
        <w:t>3 Summarize the changes in GAS susceptibility to second-line antimicrobials prior to and following the COVID-19 pandemic.</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662901020"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45991289"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