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Pediatric Concussion: What Behavioral Health Providers Should Know Home Study (#53194)</w:instrText>
      </w:r>
      <w:r>
        <w:rPr>
          <w:rFonts w:ascii="Garamond" w:hAnsi="Garamond"/>
          <w:bCs/>
        </w:rPr>
        <w:instrText xml:space="preserve">" </w:instrText>
      </w:r>
      <w:r>
        <w:rPr>
          <w:rFonts w:ascii="Garamond" w:hAnsi="Garamond"/>
          <w:bCs/>
        </w:rPr>
        <w:fldChar w:fldCharType="separate"/>
      </w:r>
      <w:r>
        <w:rPr>
          <w:rFonts w:ascii="Garamond" w:hAnsi="Garamond"/>
          <w:bCs/>
        </w:rPr>
        <w:t>BH Education: Pediatric Concussion: What Behavioral Health Providers Should Know Home Study (#53194)</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McNally, PhD, ABPP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A Michael,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Participants will be able to identify common post-concussion symptoms.</w:instrText>
      </w:r>
    </w:p>
    <w:p w:rsidR="004777F1">
      <w:pPr>
        <w:bidi w:val="0"/>
        <w:spacing w:after="280" w:afterAutospacing="1"/>
        <w:rPr>
          <w:rFonts w:ascii="Garamond" w:hAnsi="Garamond"/>
          <w:sz w:val="22"/>
          <w:szCs w:val="22"/>
        </w:rPr>
      </w:pPr>
      <w:r>
        <w:rPr>
          <w:rFonts w:ascii="Garamond" w:hAnsi="Garamond"/>
          <w:sz w:val="22"/>
          <w:szCs w:val="22"/>
        </w:rPr>
        <w:instrText>2 Participants will be able to express understanding of the neurobehavioral and psychological consequences of concussion.</w:instrText>
      </w:r>
    </w:p>
    <w:p w:rsidR="004777F1">
      <w:pPr>
        <w:bidi w:val="0"/>
        <w:spacing w:after="280" w:afterAutospacing="1"/>
        <w:rPr>
          <w:rFonts w:ascii="Garamond" w:hAnsi="Garamond"/>
          <w:sz w:val="22"/>
          <w:szCs w:val="22"/>
        </w:rPr>
      </w:pPr>
      <w:r>
        <w:rPr>
          <w:rFonts w:ascii="Garamond" w:hAnsi="Garamond"/>
          <w:sz w:val="22"/>
          <w:szCs w:val="22"/>
        </w:rPr>
        <w:instrText>3 Participants will be able to verbalize best practices for supporting youth who are recovering from concussion.</w:instrText>
      </w:r>
    </w:p>
    <w:p w:rsidR="004777F1">
      <w:pPr>
        <w:bidi w:val="0"/>
        <w:spacing w:after="280" w:afterAutospacing="1"/>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Participants will be able to identify common post-concussion symptoms.</w:instrText>
      </w:r>
    </w:p>
    <w:p w:rsidP="004777F1">
      <w:pPr>
        <w:ind w:left="540" w:hanging="180"/>
        <w:rPr>
          <w:rFonts w:ascii="Garamond" w:hAnsi="Garamond"/>
          <w:sz w:val="22"/>
          <w:szCs w:val="22"/>
        </w:rPr>
      </w:pPr>
      <w:r>
        <w:rPr>
          <w:rFonts w:ascii="Garamond" w:hAnsi="Garamond"/>
          <w:sz w:val="22"/>
          <w:szCs w:val="22"/>
        </w:rPr>
        <w:instrText>2 Participants will be able to express understanding of the neurobehavioral and psychological consequences of concussion.</w:instrText>
      </w:r>
    </w:p>
    <w:p w:rsidP="004777F1">
      <w:pPr>
        <w:ind w:left="540" w:hanging="180"/>
        <w:rPr>
          <w:rFonts w:ascii="Garamond" w:hAnsi="Garamond"/>
          <w:sz w:val="22"/>
          <w:szCs w:val="22"/>
        </w:rPr>
      </w:pPr>
      <w:r>
        <w:rPr>
          <w:rFonts w:ascii="Garamond" w:hAnsi="Garamond"/>
          <w:sz w:val="22"/>
          <w:szCs w:val="22"/>
        </w:rPr>
        <w:instrText>3 Participants will be able to verbalize best practices for supporting youth who are recovering from concussion.</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Participants will be able to identify common post-concussion symptoms.</w:t>
      </w:r>
    </w:p>
    <w:p w:rsidP="004777F1">
      <w:pPr>
        <w:ind w:left="540" w:hanging="180"/>
        <w:rPr>
          <w:rFonts w:ascii="Garamond" w:hAnsi="Garamond"/>
          <w:sz w:val="22"/>
          <w:szCs w:val="22"/>
        </w:rPr>
      </w:pPr>
      <w:r>
        <w:rPr>
          <w:rFonts w:ascii="Garamond" w:hAnsi="Garamond"/>
          <w:sz w:val="22"/>
          <w:szCs w:val="22"/>
        </w:rPr>
        <w:t>2 Participants will be able to express understanding of the neurobehavioral and psychological consequences of concussion.</w:t>
      </w:r>
    </w:p>
    <w:p w:rsidP="004777F1">
      <w:pPr>
        <w:ind w:left="540" w:hanging="180"/>
        <w:rPr>
          <w:rFonts w:ascii="Garamond" w:hAnsi="Garamond"/>
          <w:sz w:val="22"/>
          <w:szCs w:val="22"/>
        </w:rPr>
      </w:pPr>
      <w:r>
        <w:rPr>
          <w:rFonts w:ascii="Garamond" w:hAnsi="Garamond"/>
          <w:sz w:val="22"/>
          <w:szCs w:val="22"/>
        </w:rPr>
        <w:t>3 Participants will be able to verbalize best practices for supporting youth who are recovering from concussion.</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35323636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0569394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