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Behavioral Strategies to Support the Mental Health Needs of Individuals with Disabilities Home Study (#52898)</w:instrText>
      </w:r>
      <w:r>
        <w:rPr>
          <w:rFonts w:ascii="Garamond" w:hAnsi="Garamond"/>
          <w:bCs/>
        </w:rPr>
        <w:instrText xml:space="preserve">" </w:instrText>
      </w:r>
      <w:r>
        <w:rPr>
          <w:rFonts w:ascii="Garamond" w:hAnsi="Garamond"/>
          <w:bCs/>
        </w:rPr>
        <w:fldChar w:fldCharType="separate"/>
      </w:r>
      <w:r>
        <w:rPr>
          <w:rFonts w:ascii="Garamond" w:hAnsi="Garamond"/>
          <w:bCs/>
        </w:rPr>
        <w:t>BH Education: Behavioral Strategies to Support the Mental Health Needs of Individuals with Disabilities Home Study (#52898)</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6,</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 A Dell'Armo,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Janette Long, MA,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the symptoms of mental health concerns in their patients with developmental disabilities and recognize the impact.</w:instrText>
      </w:r>
    </w:p>
    <w:p w:rsidR="004777F1">
      <w:pPr>
        <w:bidi w:val="0"/>
        <w:spacing w:after="280" w:afterAutospacing="1"/>
        <w:rPr>
          <w:rFonts w:ascii="Garamond" w:hAnsi="Garamond"/>
          <w:sz w:val="22"/>
          <w:szCs w:val="22"/>
        </w:rPr>
      </w:pPr>
      <w:r>
        <w:rPr>
          <w:rFonts w:ascii="Garamond" w:hAnsi="Garamond"/>
          <w:sz w:val="22"/>
          <w:szCs w:val="22"/>
        </w:rPr>
        <w:instrText>2 Learn at least 2 preventative strategies to teach appropriate social and coping skills to all patients.</w:instrText>
      </w:r>
    </w:p>
    <w:p w:rsidR="004777F1">
      <w:pPr>
        <w:bidi w:val="0"/>
        <w:spacing w:after="280" w:afterAutospacing="1"/>
        <w:rPr>
          <w:rFonts w:ascii="Garamond" w:hAnsi="Garamond"/>
          <w:sz w:val="22"/>
          <w:szCs w:val="22"/>
        </w:rPr>
      </w:pPr>
      <w:r>
        <w:rPr>
          <w:rFonts w:ascii="Garamond" w:hAnsi="Garamond"/>
          <w:sz w:val="22"/>
          <w:szCs w:val="22"/>
        </w:rPr>
        <w:instrText>3 Develop a plan for how to respond when these individuals have a mental health crisis or situation.</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the symptoms of mental health concerns in their patients with developmental disabilities and recognize the impact.</w:instrText>
      </w:r>
    </w:p>
    <w:p w:rsidP="004777F1">
      <w:pPr>
        <w:ind w:left="540" w:hanging="180"/>
        <w:rPr>
          <w:rFonts w:ascii="Garamond" w:hAnsi="Garamond"/>
          <w:sz w:val="22"/>
          <w:szCs w:val="22"/>
        </w:rPr>
      </w:pPr>
      <w:r>
        <w:rPr>
          <w:rFonts w:ascii="Garamond" w:hAnsi="Garamond"/>
          <w:sz w:val="22"/>
          <w:szCs w:val="22"/>
        </w:rPr>
        <w:instrText>2 Learn at least 2 preventative strategies to teach appropriate social and coping skills to all patients.</w:instrText>
      </w:r>
    </w:p>
    <w:p w:rsidP="004777F1">
      <w:pPr>
        <w:ind w:left="540" w:hanging="180"/>
        <w:rPr>
          <w:rFonts w:ascii="Garamond" w:hAnsi="Garamond"/>
          <w:sz w:val="22"/>
          <w:szCs w:val="22"/>
        </w:rPr>
      </w:pPr>
      <w:r>
        <w:rPr>
          <w:rFonts w:ascii="Garamond" w:hAnsi="Garamond"/>
          <w:sz w:val="22"/>
          <w:szCs w:val="22"/>
        </w:rPr>
        <w:instrText>3 Develop a plan for how to respond when these individuals have a mental health crisis or situation.</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the symptoms of mental health concerns in their patients with developmental disabilities and recognize the impact.</w:t>
      </w:r>
    </w:p>
    <w:p w:rsidP="004777F1">
      <w:pPr>
        <w:ind w:left="540" w:hanging="180"/>
        <w:rPr>
          <w:rFonts w:ascii="Garamond" w:hAnsi="Garamond"/>
          <w:sz w:val="22"/>
          <w:szCs w:val="22"/>
        </w:rPr>
      </w:pPr>
      <w:r>
        <w:rPr>
          <w:rFonts w:ascii="Garamond" w:hAnsi="Garamond"/>
          <w:sz w:val="22"/>
          <w:szCs w:val="22"/>
        </w:rPr>
        <w:t>2 Learn at least 2 preventative strategies to teach appropriate social and coping skills to all patients.</w:t>
      </w:r>
    </w:p>
    <w:p w:rsidP="004777F1">
      <w:pPr>
        <w:ind w:left="540" w:hanging="180"/>
        <w:rPr>
          <w:rFonts w:ascii="Garamond" w:hAnsi="Garamond"/>
          <w:sz w:val="22"/>
          <w:szCs w:val="22"/>
        </w:rPr>
      </w:pPr>
      <w:r>
        <w:rPr>
          <w:rFonts w:ascii="Garamond" w:hAnsi="Garamond"/>
          <w:sz w:val="22"/>
          <w:szCs w:val="22"/>
        </w:rPr>
        <w:t>3 Develop a plan for how to respond when these individuals have a mental health crisis or situation.</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30978480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70507454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