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Adulting with Autonomy: Decision Making Supports and Alternatives to Guardianship Home Study (#51142)</w:instrText>
      </w:r>
      <w:r>
        <w:rPr>
          <w:rFonts w:ascii="Garamond" w:hAnsi="Garamond"/>
          <w:bCs/>
        </w:rPr>
        <w:instrText xml:space="preserve">" </w:instrText>
      </w:r>
      <w:r>
        <w:rPr>
          <w:rFonts w:ascii="Garamond" w:hAnsi="Garamond"/>
          <w:bCs/>
        </w:rPr>
        <w:fldChar w:fldCharType="separate"/>
      </w:r>
      <w:r>
        <w:rPr>
          <w:rFonts w:ascii="Garamond" w:hAnsi="Garamond"/>
          <w:bCs/>
        </w:rPr>
        <w:t>BH Education: Adulting with Autonomy: Decision Making Supports and Alternatives to Guardianship Home Study (#51142)</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January 23,</w:t>
      </w:r>
      <w:r>
        <w:rPr>
          <w:rFonts w:ascii="Garamond" w:hAnsi="Garamond"/>
          <w:bCs/>
        </w:rPr>
        <w:t xml:space="preserve"> 2026 - 8:00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Koterba,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Camille Wilson,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 xml:space="preserve">1 Classify different types of decision-making supports along the support continuum (SDM, guardianship, guardianship)  </w:instrText>
      </w:r>
    </w:p>
    <w:p w:rsidR="004777F1">
      <w:pPr>
        <w:bidi w:val="0"/>
        <w:spacing w:after="280" w:afterAutospacing="1"/>
        <w:rPr>
          <w:rFonts w:ascii="Garamond" w:hAnsi="Garamond"/>
          <w:sz w:val="22"/>
          <w:szCs w:val="22"/>
        </w:rPr>
      </w:pPr>
      <w:r>
        <w:rPr>
          <w:rFonts w:ascii="Garamond" w:hAnsi="Garamond"/>
          <w:sz w:val="22"/>
          <w:szCs w:val="22"/>
        </w:rPr>
        <w:instrText>2 Discriminate between evaluations of competency vs capacity</w:instrText>
      </w:r>
    </w:p>
    <w:p w:rsidR="004777F1">
      <w:pPr>
        <w:bidi w:val="0"/>
        <w:spacing w:after="280" w:afterAutospacing="1"/>
        <w:rPr>
          <w:rFonts w:ascii="Garamond" w:hAnsi="Garamond"/>
          <w:sz w:val="22"/>
          <w:szCs w:val="22"/>
        </w:rPr>
      </w:pPr>
      <w:r>
        <w:rPr>
          <w:rFonts w:ascii="Garamond" w:hAnsi="Garamond"/>
          <w:sz w:val="22"/>
          <w:szCs w:val="22"/>
        </w:rPr>
        <w:instrText xml:space="preserve">3 Identify when an evaluation is required to determine decision making supports </w:instrText>
      </w:r>
    </w:p>
    <w:p w:rsidR="004777F1">
      <w:pPr>
        <w:bidi w:val="0"/>
        <w:spacing w:after="280" w:afterAutospacing="1"/>
        <w:rPr>
          <w:rFonts w:ascii="Garamond" w:hAnsi="Garamond"/>
          <w:sz w:val="22"/>
          <w:szCs w:val="22"/>
        </w:rPr>
      </w:pPr>
      <w:r>
        <w:rPr>
          <w:rFonts w:ascii="Garamond" w:hAnsi="Garamond"/>
          <w:sz w:val="22"/>
          <w:szCs w:val="22"/>
        </w:rPr>
        <w:instrText>4 Recognize community resources for decision making support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 xml:space="preserve">1 Classify different types of decision-making supports along the support continuum (SDM, guardianship, guardianship)  </w:instrText>
      </w:r>
    </w:p>
    <w:p w:rsidP="004777F1">
      <w:pPr>
        <w:ind w:left="540" w:hanging="180"/>
        <w:rPr>
          <w:rFonts w:ascii="Garamond" w:hAnsi="Garamond"/>
          <w:sz w:val="22"/>
          <w:szCs w:val="22"/>
        </w:rPr>
      </w:pPr>
      <w:r>
        <w:rPr>
          <w:rFonts w:ascii="Garamond" w:hAnsi="Garamond"/>
          <w:sz w:val="22"/>
          <w:szCs w:val="22"/>
        </w:rPr>
        <w:instrText>2 Discriminate between evaluations of competency vs capacity</w:instrText>
      </w:r>
    </w:p>
    <w:p w:rsidP="004777F1">
      <w:pPr>
        <w:ind w:left="540" w:hanging="180"/>
        <w:rPr>
          <w:rFonts w:ascii="Garamond" w:hAnsi="Garamond"/>
          <w:sz w:val="22"/>
          <w:szCs w:val="22"/>
        </w:rPr>
      </w:pPr>
      <w:r>
        <w:rPr>
          <w:rFonts w:ascii="Garamond" w:hAnsi="Garamond"/>
          <w:sz w:val="22"/>
          <w:szCs w:val="22"/>
        </w:rPr>
        <w:instrText xml:space="preserve">3 Identify when an evaluation is required to determine decision making supports </w:instrText>
      </w:r>
    </w:p>
    <w:p w:rsidP="004777F1">
      <w:pPr>
        <w:ind w:left="540" w:hanging="180"/>
        <w:rPr>
          <w:rFonts w:ascii="Garamond" w:hAnsi="Garamond"/>
          <w:sz w:val="22"/>
          <w:szCs w:val="22"/>
        </w:rPr>
      </w:pPr>
      <w:r>
        <w:rPr>
          <w:rFonts w:ascii="Garamond" w:hAnsi="Garamond"/>
          <w:sz w:val="22"/>
          <w:szCs w:val="22"/>
        </w:rPr>
        <w:instrText>4 Recognize community resources for decision making support</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 xml:space="preserve">1 Classify different types of decision-making supports along the support continuum (SDM, guardianship, guardianship)  </w:t>
      </w:r>
    </w:p>
    <w:p w:rsidP="004777F1">
      <w:pPr>
        <w:ind w:left="540" w:hanging="180"/>
        <w:rPr>
          <w:rFonts w:ascii="Garamond" w:hAnsi="Garamond"/>
          <w:sz w:val="22"/>
          <w:szCs w:val="22"/>
        </w:rPr>
      </w:pPr>
      <w:r>
        <w:rPr>
          <w:rFonts w:ascii="Garamond" w:hAnsi="Garamond"/>
          <w:sz w:val="22"/>
          <w:szCs w:val="22"/>
        </w:rPr>
        <w:t>2 Discriminate between evaluations of competency vs capacity</w:t>
      </w:r>
    </w:p>
    <w:p w:rsidP="004777F1">
      <w:pPr>
        <w:ind w:left="540" w:hanging="180"/>
        <w:rPr>
          <w:rFonts w:ascii="Garamond" w:hAnsi="Garamond"/>
          <w:sz w:val="22"/>
          <w:szCs w:val="22"/>
        </w:rPr>
      </w:pPr>
      <w:r>
        <w:rPr>
          <w:rFonts w:ascii="Garamond" w:hAnsi="Garamond"/>
          <w:sz w:val="22"/>
          <w:szCs w:val="22"/>
        </w:rPr>
        <w:t xml:space="preserve">3 Identify when an evaluation is required to determine decision making supports </w:t>
      </w:r>
    </w:p>
    <w:p w:rsidR="004777F1" w:rsidP="004777F1">
      <w:pPr>
        <w:ind w:left="540" w:hanging="180"/>
        <w:rPr>
          <w:rFonts w:ascii="Garamond" w:hAnsi="Garamond"/>
          <w:sz w:val="22"/>
          <w:szCs w:val="22"/>
        </w:rPr>
      </w:pPr>
      <w:r>
        <w:rPr>
          <w:rFonts w:ascii="Garamond" w:hAnsi="Garamond"/>
          <w:sz w:val="22"/>
          <w:szCs w:val="22"/>
        </w:rPr>
        <w:t>4 Recognize community resources for decision making support</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585655486"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2006447029"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