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Treatment of ARFID via Telehealth: Keeping the Cook in the Kitchen Home Study (#49996)</w:instrText>
      </w:r>
      <w:r>
        <w:rPr>
          <w:rFonts w:ascii="Garamond" w:hAnsi="Garamond"/>
          <w:bCs/>
        </w:rPr>
        <w:instrText xml:space="preserve">" </w:instrText>
      </w:r>
      <w:r>
        <w:rPr>
          <w:rFonts w:ascii="Garamond" w:hAnsi="Garamond"/>
          <w:bCs/>
        </w:rPr>
        <w:fldChar w:fldCharType="separate"/>
      </w:r>
      <w:r>
        <w:rPr>
          <w:rFonts w:ascii="Garamond" w:hAnsi="Garamond"/>
          <w:bCs/>
        </w:rPr>
        <w:t>BH Education: Treatment of ARFID via Telehealth: Keeping the Cook in the Kitchen Home Study (#49996)</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Sean Tams ,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Define the core components of CBT for ARFID and how these are delivered in a traditional in-person modality. </w:instrText>
      </w:r>
    </w:p>
    <w:p w:rsidR="004777F1">
      <w:pPr>
        <w:bidi w:val="0"/>
        <w:spacing w:after="280" w:afterAutospacing="1"/>
        <w:rPr>
          <w:rFonts w:ascii="Garamond" w:hAnsi="Garamond"/>
          <w:sz w:val="22"/>
          <w:szCs w:val="22"/>
        </w:rPr>
      </w:pPr>
      <w:r>
        <w:rPr>
          <w:rFonts w:ascii="Garamond" w:hAnsi="Garamond"/>
          <w:sz w:val="22"/>
          <w:szCs w:val="22"/>
        </w:rPr>
        <w:instrText xml:space="preserve">2 Understand how CBT for ARFID is adapted for delivery via a telehealth modality, including interactive screen-sharing and remotely coaching caregivers to complete structured food exposures. </w:instrText>
      </w:r>
    </w:p>
    <w:p w:rsidR="004777F1">
      <w:pPr>
        <w:bidi w:val="0"/>
        <w:spacing w:after="280" w:afterAutospacing="1"/>
        <w:rPr>
          <w:rFonts w:ascii="Garamond" w:hAnsi="Garamond"/>
          <w:sz w:val="22"/>
          <w:szCs w:val="22"/>
        </w:rPr>
      </w:pPr>
      <w:r>
        <w:rPr>
          <w:rFonts w:ascii="Garamond" w:hAnsi="Garamond"/>
          <w:sz w:val="22"/>
          <w:szCs w:val="22"/>
        </w:rPr>
        <w:instrText xml:space="preserve">3 Identify clinical, ethical, and logistical considerations when determining which patients are appropriate for completing ARFID treatment via telehealth. </w:instrText>
      </w:r>
    </w:p>
    <w:p w:rsidR="004777F1">
      <w:pPr>
        <w:bidi w:val="0"/>
        <w:spacing w:after="280" w:afterAutospacing="1"/>
        <w:rPr>
          <w:rFonts w:ascii="Garamond" w:hAnsi="Garamond"/>
          <w:sz w:val="22"/>
          <w:szCs w:val="22"/>
        </w:rPr>
      </w:pPr>
      <w:r>
        <w:rPr>
          <w:rFonts w:ascii="Garamond" w:hAnsi="Garamond"/>
          <w:sz w:val="22"/>
          <w:szCs w:val="22"/>
        </w:rPr>
        <w:instrText xml:space="preserve">4 Demonstrate effective communication strategies to enhance interdisciplinary collaboration and patient care outcomes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Define the core components of CBT for ARFID and how these are delivered in a traditional in-person modality. </w:instrText>
      </w:r>
    </w:p>
    <w:p w:rsidP="004777F1">
      <w:pPr>
        <w:ind w:left="540" w:hanging="180"/>
        <w:rPr>
          <w:rFonts w:ascii="Garamond" w:hAnsi="Garamond"/>
          <w:sz w:val="22"/>
          <w:szCs w:val="22"/>
        </w:rPr>
      </w:pPr>
      <w:r>
        <w:rPr>
          <w:rFonts w:ascii="Garamond" w:hAnsi="Garamond"/>
          <w:sz w:val="22"/>
          <w:szCs w:val="22"/>
        </w:rPr>
        <w:instrText xml:space="preserve">2 Understand how CBT for ARFID is adapted for delivery via a telehealth modality, including interactive screen-sharing and remotely coaching caregivers to complete structured food exposures. </w:instrText>
      </w:r>
    </w:p>
    <w:p w:rsidP="004777F1">
      <w:pPr>
        <w:ind w:left="540" w:hanging="180"/>
        <w:rPr>
          <w:rFonts w:ascii="Garamond" w:hAnsi="Garamond"/>
          <w:sz w:val="22"/>
          <w:szCs w:val="22"/>
        </w:rPr>
      </w:pPr>
      <w:r>
        <w:rPr>
          <w:rFonts w:ascii="Garamond" w:hAnsi="Garamond"/>
          <w:sz w:val="22"/>
          <w:szCs w:val="22"/>
        </w:rPr>
        <w:instrText xml:space="preserve">3 Identify clinical, ethical, and logistical considerations when determining which patients are appropriate for completing ARFID treatment via telehealth. </w:instrText>
      </w:r>
    </w:p>
    <w:p w:rsidP="004777F1">
      <w:pPr>
        <w:ind w:left="540" w:hanging="180"/>
        <w:rPr>
          <w:rFonts w:ascii="Garamond" w:hAnsi="Garamond"/>
          <w:sz w:val="22"/>
          <w:szCs w:val="22"/>
        </w:rPr>
      </w:pPr>
      <w:r>
        <w:rPr>
          <w:rFonts w:ascii="Garamond" w:hAnsi="Garamond"/>
          <w:sz w:val="22"/>
          <w:szCs w:val="22"/>
        </w:rPr>
        <w:instrText xml:space="preserve">4 Demonstrate effective communication strategies to enhance interdisciplinary collaboration and patient care outcomes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Define the core components of CBT for ARFID and how these are delivered in a traditional in-person modality. </w:t>
      </w:r>
    </w:p>
    <w:p w:rsidP="004777F1">
      <w:pPr>
        <w:ind w:left="540" w:hanging="180"/>
        <w:rPr>
          <w:rFonts w:ascii="Garamond" w:hAnsi="Garamond"/>
          <w:sz w:val="22"/>
          <w:szCs w:val="22"/>
        </w:rPr>
      </w:pPr>
      <w:r>
        <w:rPr>
          <w:rFonts w:ascii="Garamond" w:hAnsi="Garamond"/>
          <w:sz w:val="22"/>
          <w:szCs w:val="22"/>
        </w:rPr>
        <w:t xml:space="preserve">2 Understand how CBT for ARFID is adapted for delivery via a telehealth modality, including interactive screen-sharing and remotely coaching caregivers to complete structured food exposures. </w:t>
      </w:r>
    </w:p>
    <w:p w:rsidP="004777F1">
      <w:pPr>
        <w:ind w:left="540" w:hanging="180"/>
        <w:rPr>
          <w:rFonts w:ascii="Garamond" w:hAnsi="Garamond"/>
          <w:sz w:val="22"/>
          <w:szCs w:val="22"/>
        </w:rPr>
      </w:pPr>
      <w:r>
        <w:rPr>
          <w:rFonts w:ascii="Garamond" w:hAnsi="Garamond"/>
          <w:sz w:val="22"/>
          <w:szCs w:val="22"/>
        </w:rPr>
        <w:t xml:space="preserve">3 Identify clinical, ethical, and logistical considerations when determining which patients are appropriate for completing ARFID treatment via telehealth. </w:t>
      </w:r>
    </w:p>
    <w:p w:rsidR="004777F1" w:rsidP="004777F1">
      <w:pPr>
        <w:ind w:left="540" w:hanging="180"/>
        <w:rPr>
          <w:rFonts w:ascii="Garamond" w:hAnsi="Garamond"/>
          <w:sz w:val="22"/>
          <w:szCs w:val="22"/>
        </w:rPr>
      </w:pPr>
      <w:r>
        <w:rPr>
          <w:rFonts w:ascii="Garamond" w:hAnsi="Garamond"/>
          <w:sz w:val="22"/>
          <w:szCs w:val="22"/>
        </w:rPr>
        <w:t xml:space="preserve">4 Demonstrate effective communication strategies to enhance interdisciplinary collaboration and patient care outcomes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434390847"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34228660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