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November 13,</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 Not Living to Wait, Not Waiting to Live – Thriving with Muscular Dystrophy by Patrick Moeschen</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 Not Living to Wait, Not Waiting to Live – Thriving with Muscular Dystrophy by Patrick Moeschen</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Discuss the adult patient experience in rare disease.</w:instrText>
      </w:r>
    </w:p>
    <w:p w:rsidR="004777F1">
      <w:pPr>
        <w:bidi w:val="0"/>
        <w:spacing w:after="280" w:afterAutospacing="1"/>
        <w:rPr>
          <w:rFonts w:ascii="Garamond" w:hAnsi="Garamond"/>
          <w:sz w:val="22"/>
          <w:szCs w:val="22"/>
        </w:rPr>
      </w:pPr>
      <w:r>
        <w:rPr>
          <w:rFonts w:ascii="Garamond" w:hAnsi="Garamond"/>
          <w:sz w:val="22"/>
          <w:szCs w:val="22"/>
        </w:rPr>
        <w:instrText>2 Recognize the importance of seeing the person behind the diagnosis, not just focusing on the disease label such as muscular dystrophy.</w:instrText>
      </w:r>
    </w:p>
    <w:p w:rsidR="004777F1">
      <w:pPr>
        <w:bidi w:val="0"/>
        <w:spacing w:after="280" w:afterAutospacing="1"/>
        <w:rPr>
          <w:rFonts w:ascii="Garamond" w:hAnsi="Garamond"/>
          <w:sz w:val="22"/>
          <w:szCs w:val="22"/>
        </w:rPr>
      </w:pPr>
      <w:r>
        <w:rPr>
          <w:rFonts w:ascii="Garamond" w:hAnsi="Garamond"/>
          <w:sz w:val="22"/>
          <w:szCs w:val="22"/>
        </w:rPr>
        <w:instrText>3 Explain the need to partner with the family as part of comprehensive patient care, recognizing families’ expertise and role in decision-making, especially when dealing with the transition from a pediatric patient to an adult patient.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Discuss the adult patient experience in rare disease.</w:instrText>
      </w:r>
    </w:p>
    <w:p w:rsidP="004777F1">
      <w:pPr>
        <w:ind w:left="540" w:hanging="180"/>
        <w:rPr>
          <w:rFonts w:ascii="Garamond" w:hAnsi="Garamond"/>
          <w:sz w:val="22"/>
          <w:szCs w:val="22"/>
        </w:rPr>
      </w:pPr>
      <w:r>
        <w:rPr>
          <w:rFonts w:ascii="Garamond" w:hAnsi="Garamond"/>
          <w:sz w:val="22"/>
          <w:szCs w:val="22"/>
        </w:rPr>
        <w:instrText>2 Recognize the importance of seeing the person behind the diagnosis, not just focusing on the disease label such as muscular dystrophy.</w:instrText>
      </w:r>
    </w:p>
    <w:p w:rsidP="004777F1">
      <w:pPr>
        <w:ind w:left="540" w:hanging="180"/>
        <w:rPr>
          <w:rFonts w:ascii="Garamond" w:hAnsi="Garamond"/>
          <w:sz w:val="22"/>
          <w:szCs w:val="22"/>
        </w:rPr>
      </w:pPr>
      <w:r>
        <w:rPr>
          <w:rFonts w:ascii="Garamond" w:hAnsi="Garamond"/>
          <w:sz w:val="22"/>
          <w:szCs w:val="22"/>
        </w:rPr>
        <w:instrText>3 Explain the need to partner with the family as part of comprehensive patient care, recognizing families’ expertise and role in decision-making, especially when dealing with the transition from a pediatric patient to an adult patient.</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Discuss the adult patient experience in rare disease.</w:t>
      </w:r>
    </w:p>
    <w:p w:rsidP="004777F1">
      <w:pPr>
        <w:ind w:left="540" w:hanging="180"/>
        <w:rPr>
          <w:rFonts w:ascii="Garamond" w:hAnsi="Garamond"/>
          <w:sz w:val="22"/>
          <w:szCs w:val="22"/>
        </w:rPr>
      </w:pPr>
      <w:r>
        <w:rPr>
          <w:rFonts w:ascii="Garamond" w:hAnsi="Garamond"/>
          <w:sz w:val="22"/>
          <w:szCs w:val="22"/>
        </w:rPr>
        <w:t>2 Recognize the importance of seeing the person behind the diagnosis, not just focusing on the disease label such as muscular dystrophy.</w:t>
      </w:r>
    </w:p>
    <w:p w:rsidR="004777F1" w:rsidP="004777F1">
      <w:pPr>
        <w:ind w:left="540" w:hanging="180"/>
        <w:rPr>
          <w:rFonts w:ascii="Garamond" w:hAnsi="Garamond"/>
          <w:sz w:val="22"/>
          <w:szCs w:val="22"/>
        </w:rPr>
      </w:pPr>
      <w:r>
        <w:rPr>
          <w:rFonts w:ascii="Garamond" w:hAnsi="Garamond"/>
          <w:sz w:val="22"/>
          <w:szCs w:val="22"/>
        </w:rPr>
        <w:t>3 Explain the need to partner with the family as part of comprehensive patient care, recognizing families’ expertise and role in decision-making, especially when dealing with the transition from a pediatric patient to an adult patient.</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362394354"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45310849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02873789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