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34434</w:instrText>
      </w:r>
      <w:r>
        <w:rPr>
          <w:rFonts w:ascii="Garamond" w:hAnsi="Garamond"/>
          <w:bCs/>
        </w:rPr>
        <w:instrText xml:space="preserve"> &lt;&gt; "" "</w:instrText>
      </w:r>
      <w:r>
        <w:rPr>
          <w:rFonts w:ascii="Garamond" w:hAnsi="Garamond"/>
          <w:bCs/>
        </w:rPr>
        <w:instrText>Urgent Care Network Bite Size Learning- Online</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Urgent Care Network Bite Size Learning- Online</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November 21,</w:t>
      </w:r>
      <w:r>
        <w:rPr>
          <w:rFonts w:ascii="Garamond" w:hAnsi="Garamond"/>
          <w:bCs/>
        </w:rPr>
        <w:t xml:space="preserve"> 2025 - 7:00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34434</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 xml:space="preserve">Urgent Care Bite Sized Learning: Health Literacy </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 xml:space="preserve">Urgent Care Bite Sized Learning: Health Literacy </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Luciana Berg,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Lindsay Brott,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Sheila Giles, BSN, CPN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Jaclyn Huffman,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Kovalcik,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Jessica Newland,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Renee Owen,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Patrick,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Margaret Redmond,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Katrina Walker,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- 10/29/2025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Define personal and organizational health literacy</w:instrText>
      </w:r>
    </w:p>
    <w:p w:rsidR="004777F1">
      <w:pPr>
        <w:bidi w:val="0"/>
        <w:spacing w:after="280" w:afterAutospacing="1"/>
        <w:rPr>
          <w:rFonts w:ascii="Garamond" w:hAnsi="Garamond"/>
          <w:sz w:val="22"/>
          <w:szCs w:val="22"/>
        </w:rPr>
      </w:pPr>
      <w:r>
        <w:rPr>
          <w:rFonts w:ascii="Garamond" w:hAnsi="Garamond"/>
          <w:sz w:val="22"/>
          <w:szCs w:val="22"/>
        </w:rPr>
        <w:instrText>2 Understand what influences health literacy</w:instrText>
      </w:r>
    </w:p>
    <w:p w:rsidR="004777F1">
      <w:pPr>
        <w:bidi w:val="0"/>
        <w:spacing w:after="280" w:afterAutospacing="1"/>
        <w:rPr>
          <w:rFonts w:ascii="Garamond" w:hAnsi="Garamond"/>
          <w:sz w:val="22"/>
          <w:szCs w:val="22"/>
        </w:rPr>
      </w:pPr>
      <w:r>
        <w:rPr>
          <w:rFonts w:ascii="Garamond" w:hAnsi="Garamond"/>
          <w:sz w:val="22"/>
          <w:szCs w:val="22"/>
        </w:rPr>
        <w:instrText>3 Review resources to assist in family health literacy</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Define personal and organizational health literacy</w:instrText>
      </w:r>
    </w:p>
    <w:p w:rsidP="004777F1">
      <w:pPr>
        <w:ind w:left="540" w:hanging="180"/>
        <w:rPr>
          <w:rFonts w:ascii="Garamond" w:hAnsi="Garamond"/>
          <w:sz w:val="22"/>
          <w:szCs w:val="22"/>
        </w:rPr>
      </w:pPr>
      <w:r>
        <w:rPr>
          <w:rFonts w:ascii="Garamond" w:hAnsi="Garamond"/>
          <w:sz w:val="22"/>
          <w:szCs w:val="22"/>
        </w:rPr>
        <w:instrText>2 Understand what influences health literacy</w:instrText>
      </w:r>
    </w:p>
    <w:p w:rsidP="004777F1">
      <w:pPr>
        <w:ind w:left="540" w:hanging="180"/>
        <w:rPr>
          <w:rFonts w:ascii="Garamond" w:hAnsi="Garamond"/>
          <w:sz w:val="22"/>
          <w:szCs w:val="22"/>
        </w:rPr>
      </w:pPr>
      <w:r>
        <w:rPr>
          <w:rFonts w:ascii="Garamond" w:hAnsi="Garamond"/>
          <w:sz w:val="22"/>
          <w:szCs w:val="22"/>
        </w:rPr>
        <w:instrText>3 Review resources to assist in family health literacy</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Define personal and organizational health literacy</w:t>
      </w:r>
    </w:p>
    <w:p w:rsidP="004777F1">
      <w:pPr>
        <w:ind w:left="540" w:hanging="180"/>
        <w:rPr>
          <w:rFonts w:ascii="Garamond" w:hAnsi="Garamond"/>
          <w:sz w:val="22"/>
          <w:szCs w:val="22"/>
        </w:rPr>
      </w:pPr>
      <w:r>
        <w:rPr>
          <w:rFonts w:ascii="Garamond" w:hAnsi="Garamond"/>
          <w:sz w:val="22"/>
          <w:szCs w:val="22"/>
        </w:rPr>
        <w:t>2 Understand what influences health literacy</w:t>
      </w:r>
    </w:p>
    <w:p w:rsidR="004777F1" w:rsidP="004777F1">
      <w:pPr>
        <w:ind w:left="540" w:hanging="180"/>
        <w:rPr>
          <w:rFonts w:ascii="Garamond" w:hAnsi="Garamond"/>
          <w:sz w:val="22"/>
          <w:szCs w:val="22"/>
        </w:rPr>
      </w:pPr>
      <w:r>
        <w:rPr>
          <w:rFonts w:ascii="Garamond" w:hAnsi="Garamond"/>
          <w:sz w:val="22"/>
          <w:szCs w:val="22"/>
        </w:rPr>
        <w:t>3 Review resources to assist in family health literacy</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