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Cognitive Behavioral Therapy (CBT) for Behavioral Health Clinicians (#48380)</w:instrText>
      </w:r>
      <w:r>
        <w:rPr>
          <w:rFonts w:ascii="Garamond" w:hAnsi="Garamond"/>
          <w:bCs/>
        </w:rPr>
        <w:instrText xml:space="preserve">" </w:instrText>
      </w:r>
      <w:r>
        <w:rPr>
          <w:rFonts w:ascii="Garamond" w:hAnsi="Garamond"/>
          <w:bCs/>
        </w:rPr>
        <w:fldChar w:fldCharType="separate"/>
      </w:r>
      <w:r>
        <w:rPr>
          <w:rFonts w:ascii="Garamond" w:hAnsi="Garamond"/>
          <w:bCs/>
        </w:rPr>
        <w:t>BH Education: Cognitive Behavioral Therapy (CBT) for Behavioral Health Clinicians (#48380)</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July 28,</w:t>
      </w:r>
      <w:r>
        <w:rPr>
          <w:rFonts w:ascii="Garamond" w:hAnsi="Garamond"/>
          <w:bCs/>
        </w:rPr>
        <w:t xml:space="preserve"> 2026 - 8:30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P Ackerman,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A Scott, IMFT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L Wesolowski,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Levell,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Moubray, LPCC-S, supervision designation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CBT and its core principles.</w:instrText>
      </w:r>
    </w:p>
    <w:p w:rsidR="004777F1">
      <w:pPr>
        <w:rPr>
          <w:rFonts w:ascii="Garamond" w:hAnsi="Garamond"/>
          <w:sz w:val="22"/>
          <w:szCs w:val="22"/>
        </w:rPr>
      </w:pPr>
      <w:r>
        <w:rPr>
          <w:rFonts w:ascii="Garamond" w:hAnsi="Garamond"/>
          <w:sz w:val="22"/>
          <w:szCs w:val="22"/>
        </w:rPr>
        <w:instrText>2 Demonstrate their ability to utilize CBT techniques in direct work with clients and families.</w:instrText>
      </w:r>
    </w:p>
    <w:p w:rsidR="004777F1">
      <w:pPr>
        <w:rPr>
          <w:rFonts w:ascii="Garamond" w:hAnsi="Garamond"/>
          <w:sz w:val="22"/>
          <w:szCs w:val="22"/>
        </w:rPr>
      </w:pPr>
      <w:r>
        <w:rPr>
          <w:rFonts w:ascii="Garamond" w:hAnsi="Garamond"/>
          <w:sz w:val="22"/>
          <w:szCs w:val="22"/>
        </w:rPr>
        <w:instrText xml:space="preserve">3 Increase their ability to utilize CBT case conceptualization.   </w:instrText>
      </w:r>
    </w:p>
    <w:p w:rsidR="004777F1">
      <w:pPr>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CBT and its core principles.</w:instrText>
      </w:r>
    </w:p>
    <w:p w:rsidP="004777F1">
      <w:pPr>
        <w:ind w:left="540" w:hanging="180"/>
        <w:rPr>
          <w:rFonts w:ascii="Garamond" w:hAnsi="Garamond"/>
          <w:sz w:val="22"/>
          <w:szCs w:val="22"/>
        </w:rPr>
      </w:pPr>
      <w:r>
        <w:rPr>
          <w:rFonts w:ascii="Garamond" w:hAnsi="Garamond"/>
          <w:sz w:val="22"/>
          <w:szCs w:val="22"/>
        </w:rPr>
        <w:instrText>2 Demonstrate their ability to utilize CBT techniques in direct work with clients and families.</w:instrText>
      </w:r>
    </w:p>
    <w:p w:rsidP="004777F1">
      <w:pPr>
        <w:ind w:left="540" w:hanging="180"/>
        <w:rPr>
          <w:rFonts w:ascii="Garamond" w:hAnsi="Garamond"/>
          <w:sz w:val="22"/>
          <w:szCs w:val="22"/>
        </w:rPr>
      </w:pPr>
      <w:r>
        <w:rPr>
          <w:rFonts w:ascii="Garamond" w:hAnsi="Garamond"/>
          <w:sz w:val="22"/>
          <w:szCs w:val="22"/>
        </w:rPr>
        <w:instrText xml:space="preserve">3 Increase their ability to utilize CBT case conceptualization.   </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CBT and its core principles.</w:t>
      </w:r>
    </w:p>
    <w:p w:rsidP="004777F1">
      <w:pPr>
        <w:ind w:left="540" w:hanging="180"/>
        <w:rPr>
          <w:rFonts w:ascii="Garamond" w:hAnsi="Garamond"/>
          <w:sz w:val="22"/>
          <w:szCs w:val="22"/>
        </w:rPr>
      </w:pPr>
      <w:r>
        <w:rPr>
          <w:rFonts w:ascii="Garamond" w:hAnsi="Garamond"/>
          <w:sz w:val="22"/>
          <w:szCs w:val="22"/>
        </w:rPr>
        <w:t>2 Demonstrate their ability to utilize CBT techniques in direct work with clients and families.</w:t>
      </w:r>
    </w:p>
    <w:p w:rsidP="004777F1">
      <w:pPr>
        <w:ind w:left="540" w:hanging="180"/>
        <w:rPr>
          <w:rFonts w:ascii="Garamond" w:hAnsi="Garamond"/>
          <w:sz w:val="22"/>
          <w:szCs w:val="22"/>
        </w:rPr>
      </w:pPr>
      <w:r>
        <w:rPr>
          <w:rFonts w:ascii="Garamond" w:hAnsi="Garamond"/>
          <w:sz w:val="22"/>
          <w:szCs w:val="22"/>
        </w:rPr>
        <w:t xml:space="preserve">3 Increase their ability to utilize CBT case conceptualization.   </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893979904"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167529028"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