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September 25,</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Professionalism Education, Coaching &amp; Remediation: The State of the Art by Ashley Fernandes, MD, PhD, FAAP</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Professionalism Education, Coaching &amp; Remediation: The State of the Art by Ashley Fernandes, MD, PhD, FAAP</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Integrate an understanding of duty of professionalism and the consequences of unprofessional behavior on safety, quality, and ethics.</w:instrText>
      </w:r>
    </w:p>
    <w:p w:rsidR="004777F1">
      <w:pPr>
        <w:bidi w:val="0"/>
        <w:spacing w:after="280" w:afterAutospacing="1"/>
        <w:rPr>
          <w:rFonts w:ascii="Garamond" w:hAnsi="Garamond"/>
          <w:sz w:val="22"/>
          <w:szCs w:val="22"/>
        </w:rPr>
      </w:pPr>
      <w:r>
        <w:rPr>
          <w:rFonts w:ascii="Garamond" w:hAnsi="Garamond"/>
          <w:sz w:val="22"/>
          <w:szCs w:val="22"/>
        </w:rPr>
        <w:instrText>2 Distinguish between collegial advice, mentoring, consultation, and coaching, and elucidate the essential role of coaching in medical professionalism.</w:instrText>
      </w:r>
    </w:p>
    <w:p w:rsidR="004777F1">
      <w:pPr>
        <w:bidi w:val="0"/>
        <w:spacing w:after="280" w:afterAutospacing="1"/>
        <w:rPr>
          <w:rFonts w:ascii="Garamond" w:hAnsi="Garamond"/>
          <w:sz w:val="22"/>
          <w:szCs w:val="22"/>
        </w:rPr>
      </w:pPr>
      <w:r>
        <w:rPr>
          <w:rFonts w:ascii="Garamond" w:hAnsi="Garamond"/>
          <w:sz w:val="22"/>
          <w:szCs w:val="22"/>
        </w:rPr>
        <w:instrText>3 Recognize the distinction between professionalism remediation and coaching to effectively utilize and build on the robust resources available to faculty at Nationwide Children's.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Integrate an understanding of duty of professionalism and the consequences of unprofessional behavior on safety, quality, and ethics.</w:instrText>
      </w:r>
    </w:p>
    <w:p w:rsidP="004777F1">
      <w:pPr>
        <w:ind w:left="540" w:hanging="180"/>
        <w:rPr>
          <w:rFonts w:ascii="Garamond" w:hAnsi="Garamond"/>
          <w:sz w:val="22"/>
          <w:szCs w:val="22"/>
        </w:rPr>
      </w:pPr>
      <w:r>
        <w:rPr>
          <w:rFonts w:ascii="Garamond" w:hAnsi="Garamond"/>
          <w:sz w:val="22"/>
          <w:szCs w:val="22"/>
        </w:rPr>
        <w:instrText>2 Distinguish between collegial advice, mentoring, consultation, and coaching, and elucidate the essential role of coaching in medical professionalism.</w:instrText>
      </w:r>
    </w:p>
    <w:p w:rsidP="004777F1">
      <w:pPr>
        <w:ind w:left="540" w:hanging="180"/>
        <w:rPr>
          <w:rFonts w:ascii="Garamond" w:hAnsi="Garamond"/>
          <w:sz w:val="22"/>
          <w:szCs w:val="22"/>
        </w:rPr>
      </w:pPr>
      <w:r>
        <w:rPr>
          <w:rFonts w:ascii="Garamond" w:hAnsi="Garamond"/>
          <w:sz w:val="22"/>
          <w:szCs w:val="22"/>
        </w:rPr>
        <w:instrText>3 Recognize the distinction between professionalism remediation and coaching to effectively utilize and build on the robust resources available to faculty at Nationwide Children's.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Integrate an understanding of duty of professionalism and the consequences of unprofessional behavior on safety, quality, and ethics.</w:t>
      </w:r>
    </w:p>
    <w:p w:rsidP="004777F1">
      <w:pPr>
        <w:ind w:left="540" w:hanging="180"/>
        <w:rPr>
          <w:rFonts w:ascii="Garamond" w:hAnsi="Garamond"/>
          <w:sz w:val="22"/>
          <w:szCs w:val="22"/>
        </w:rPr>
      </w:pPr>
      <w:r>
        <w:rPr>
          <w:rFonts w:ascii="Garamond" w:hAnsi="Garamond"/>
          <w:sz w:val="22"/>
          <w:szCs w:val="22"/>
        </w:rPr>
        <w:t>2 Distinguish between collegial advice, mentoring, consultation, and coaching, and elucidate the essential role of coaching in medical professionalism.</w:t>
      </w:r>
    </w:p>
    <w:p w:rsidR="004777F1" w:rsidP="004777F1">
      <w:pPr>
        <w:ind w:left="540" w:hanging="180"/>
        <w:rPr>
          <w:rFonts w:ascii="Garamond" w:hAnsi="Garamond"/>
          <w:sz w:val="22"/>
          <w:szCs w:val="22"/>
        </w:rPr>
      </w:pPr>
      <w:r>
        <w:rPr>
          <w:rFonts w:ascii="Garamond" w:hAnsi="Garamond"/>
          <w:sz w:val="22"/>
          <w:szCs w:val="22"/>
        </w:rPr>
        <w:t>3 Recognize the distinction between professionalism remediation and coaching to effectively utilize and build on the robust resources available to faculty at Nationwide Children's.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65854793"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12932704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610587506"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