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Supervising for Safety: Enhancing Suicide Risk Management and Safety Planning in Supervision Home Study (#47906)</w:instrText>
      </w:r>
      <w:r>
        <w:rPr>
          <w:rFonts w:ascii="Garamond" w:hAnsi="Garamond"/>
          <w:bCs/>
        </w:rPr>
        <w:instrText xml:space="preserve">" </w:instrText>
      </w:r>
      <w:r>
        <w:rPr>
          <w:rFonts w:ascii="Garamond" w:hAnsi="Garamond"/>
          <w:bCs/>
        </w:rPr>
        <w:fldChar w:fldCharType="separate"/>
      </w:r>
      <w:r>
        <w:rPr>
          <w:rFonts w:ascii="Garamond" w:hAnsi="Garamond"/>
          <w:bCs/>
        </w:rPr>
        <w:t>BH Education: Supervising for Safety: Enhancing Suicide Risk Management and Safety Planning in Supervision Home Study (#47906)</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7,</w:t>
      </w:r>
      <w:r>
        <w:rPr>
          <w:rFonts w:ascii="Garamond" w:hAnsi="Garamond"/>
          <w:bCs/>
        </w:rPr>
        <w:t xml:space="preserve"> 2025 - 8:00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Hughes,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Beneficiary-Guilford Press|Paid consultant-Intermountain Health (Relationship has ended)|Honoraria-Long Island Behavioral Health (Relationship has ended)|Paid consultant-Family Connections (Relationship has ended)|Other: travel paid-Karolinska Institutet (Relationship has ended)|Honoraria-Dallas Psychological Association (Relationship has ended)|Paid consultant-Baylor (Relationship has ended)|Membership on Advisory Committees or Review Panels, Board Membership, etc.-APA Division 53 Society for Clinical Child and Adolescent Psychology|Honoraria-Oklahoma Counseling Institute (Relationship has ended)|Paid consultant-Mental Health in Mind International, AB (Relationship has ended)|Honoraria-Texoma Community Behavioral Health Conference (Relationship has ended)|Other: travel -UT Southwestern Medical Center (Relationship has ended)|Honoraria-The Child Study Center of New York (Relationship has ended)|Paid consultant-Jed Foundation (Relationship has ended)|Honoraria-Nemours (Relationship has ended)|Paid consultant-Didi Hirsch - 12/10/2024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Evaluate supervisee competence using mock scenarios and role play in supervision sessions to ensure fidelity to suicide risk screening and assessment tools and limit drift from best practice.</w:instrText>
      </w:r>
    </w:p>
    <w:p w:rsidR="004777F1">
      <w:pPr>
        <w:bidi w:val="0"/>
        <w:spacing w:after="280" w:afterAutospacing="1"/>
        <w:rPr>
          <w:rFonts w:ascii="Garamond" w:hAnsi="Garamond"/>
          <w:sz w:val="22"/>
          <w:szCs w:val="22"/>
        </w:rPr>
      </w:pPr>
      <w:r>
        <w:rPr>
          <w:rFonts w:ascii="Garamond" w:hAnsi="Garamond"/>
          <w:sz w:val="22"/>
          <w:szCs w:val="22"/>
        </w:rPr>
        <w:instrText>2 Implement 1-2 evidence-based supervision practices to ensure competent practice in risk assessment and other brief interventions.</w:instrText>
      </w:r>
    </w:p>
    <w:p w:rsidR="004777F1">
      <w:pPr>
        <w:bidi w:val="0"/>
        <w:spacing w:after="280" w:afterAutospacing="1"/>
        <w:rPr>
          <w:rFonts w:ascii="Garamond" w:hAnsi="Garamond"/>
          <w:sz w:val="22"/>
          <w:szCs w:val="22"/>
        </w:rPr>
      </w:pPr>
      <w:r>
        <w:rPr>
          <w:rFonts w:ascii="Garamond" w:hAnsi="Garamond"/>
          <w:sz w:val="22"/>
          <w:szCs w:val="22"/>
        </w:rPr>
        <w:instrText>3 Guide supervisees in developing a comprehensive safety plan by reviewing case scenarios and outlining components of an effective safety planning.</w:instrText>
      </w:r>
    </w:p>
    <w:p w:rsidR="004777F1">
      <w:pPr>
        <w:bidi w:val="0"/>
        <w:spacing w:after="280" w:afterAutospacing="1"/>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Evaluate supervisee competence using mock scenarios and role play in supervision sessions to ensure fidelity to suicide risk screening and assessment tools and limit drift from best practice.</w:instrText>
      </w:r>
    </w:p>
    <w:p w:rsidP="004777F1">
      <w:pPr>
        <w:ind w:left="540" w:hanging="180"/>
        <w:rPr>
          <w:rFonts w:ascii="Garamond" w:hAnsi="Garamond"/>
          <w:sz w:val="22"/>
          <w:szCs w:val="22"/>
        </w:rPr>
      </w:pPr>
      <w:r>
        <w:rPr>
          <w:rFonts w:ascii="Garamond" w:hAnsi="Garamond"/>
          <w:sz w:val="22"/>
          <w:szCs w:val="22"/>
        </w:rPr>
        <w:instrText>2 Implement 1-2 evidence-based supervision practices to ensure competent practice in risk assessment and other brief interventions.</w:instrText>
      </w:r>
    </w:p>
    <w:p w:rsidP="004777F1">
      <w:pPr>
        <w:ind w:left="540" w:hanging="180"/>
        <w:rPr>
          <w:rFonts w:ascii="Garamond" w:hAnsi="Garamond"/>
          <w:sz w:val="22"/>
          <w:szCs w:val="22"/>
        </w:rPr>
      </w:pPr>
      <w:r>
        <w:rPr>
          <w:rFonts w:ascii="Garamond" w:hAnsi="Garamond"/>
          <w:sz w:val="22"/>
          <w:szCs w:val="22"/>
        </w:rPr>
        <w:instrText>3 Guide supervisees in developing a comprehensive safety plan by reviewing case scenarios and outlining components of an effective safety planning.</w:instrText>
      </w:r>
    </w:p>
    <w:p w:rsidP="004777F1">
      <w:pPr>
        <w:ind w:left="540" w:hanging="180"/>
        <w:rPr>
          <w:rFonts w:ascii="Garamond" w:hAnsi="Garamond"/>
          <w:sz w:val="22"/>
          <w:szCs w:val="22"/>
        </w:rPr>
      </w:pPr>
      <w:r>
        <w:rPr>
          <w:rFonts w:ascii="Garamond" w:hAnsi="Garamond"/>
          <w:sz w:val="22"/>
          <w:szCs w:val="22"/>
        </w:rPr>
        <w:instrText>4 Demonstrate effective communication strategies to enhance interdisciplinary collaboration and patient care outcomes.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Evaluate supervisee competence using mock scenarios and role play in supervision sessions to ensure fidelity to suicide risk screening and assessment tools and limit drift from best practice.</w:t>
      </w:r>
    </w:p>
    <w:p w:rsidP="004777F1">
      <w:pPr>
        <w:ind w:left="540" w:hanging="180"/>
        <w:rPr>
          <w:rFonts w:ascii="Garamond" w:hAnsi="Garamond"/>
          <w:sz w:val="22"/>
          <w:szCs w:val="22"/>
        </w:rPr>
      </w:pPr>
      <w:r>
        <w:rPr>
          <w:rFonts w:ascii="Garamond" w:hAnsi="Garamond"/>
          <w:sz w:val="22"/>
          <w:szCs w:val="22"/>
        </w:rPr>
        <w:t>2 Implement 1-2 evidence-based supervision practices to ensure competent practice in risk assessment and other brief interventions.</w:t>
      </w:r>
    </w:p>
    <w:p w:rsidP="004777F1">
      <w:pPr>
        <w:ind w:left="540" w:hanging="180"/>
        <w:rPr>
          <w:rFonts w:ascii="Garamond" w:hAnsi="Garamond"/>
          <w:sz w:val="22"/>
          <w:szCs w:val="22"/>
        </w:rPr>
      </w:pPr>
      <w:r>
        <w:rPr>
          <w:rFonts w:ascii="Garamond" w:hAnsi="Garamond"/>
          <w:sz w:val="22"/>
          <w:szCs w:val="22"/>
        </w:rPr>
        <w:t>3 Guide supervisees in developing a comprehensive safety plan by reviewing case scenarios and outlining components of an effective safety planning.</w:t>
      </w:r>
    </w:p>
    <w:p w:rsidR="004777F1" w:rsidP="004777F1">
      <w:pPr>
        <w:ind w:left="540" w:hanging="180"/>
        <w:rPr>
          <w:rFonts w:ascii="Garamond" w:hAnsi="Garamond"/>
          <w:sz w:val="22"/>
          <w:szCs w:val="22"/>
        </w:rPr>
      </w:pPr>
      <w:r>
        <w:rPr>
          <w:rFonts w:ascii="Garamond" w:hAnsi="Garamond"/>
          <w:sz w:val="22"/>
          <w:szCs w:val="22"/>
        </w:rPr>
        <w:t>4 Demonstrate effective communication strategies to enhance interdisciplinary collaboration and patient care outcomes.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755247535"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46091365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