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16,</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2025 Nursing Grand Rounds Enduring: October 16: Doses of Collaboration: Reimagining Care at the Point of Discharge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2025 Nursing Grand Rounds Enduring: October 16: Doses of Collaboration: Reimagining Care at the Point of Discharge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Vegh, MSN, Certified Pediatric Nurse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Elora Hilmas, PharmD, BCPS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Participants will be able to list literature-reported benefits of a successful transition of care discharge program. </w:instrText>
      </w:r>
    </w:p>
    <w:p w:rsidR="004777F1">
      <w:pPr>
        <w:bidi w:val="0"/>
        <w:spacing w:after="280" w:afterAutospacing="1"/>
        <w:rPr>
          <w:rFonts w:ascii="Garamond" w:hAnsi="Garamond"/>
          <w:sz w:val="22"/>
          <w:szCs w:val="22"/>
        </w:rPr>
      </w:pPr>
      <w:r>
        <w:rPr>
          <w:rFonts w:ascii="Garamond" w:hAnsi="Garamond"/>
          <w:sz w:val="22"/>
          <w:szCs w:val="22"/>
        </w:rPr>
        <w:instrText xml:space="preserve">2 Participants will be able to describe two interventions implemented to increase the efficiency of patient enrollment in the program. </w:instrText>
      </w:r>
    </w:p>
    <w:p w:rsidR="004777F1">
      <w:pPr>
        <w:bidi w:val="0"/>
        <w:spacing w:after="280" w:afterAutospacing="1"/>
        <w:rPr>
          <w:rFonts w:ascii="Garamond" w:hAnsi="Garamond"/>
          <w:sz w:val="22"/>
          <w:szCs w:val="22"/>
        </w:rPr>
      </w:pPr>
      <w:r>
        <w:rPr>
          <w:rFonts w:ascii="Garamond" w:hAnsi="Garamond"/>
          <w:sz w:val="22"/>
          <w:szCs w:val="22"/>
        </w:rPr>
        <w:instrText xml:space="preserve">3 Participants will be able to discuss the outcome of pharmacy-nursing collaboration on a pediatric inpatient unit. </w:instrText>
      </w:r>
    </w:p>
    <w:p w:rsidR="004777F1">
      <w:pPr>
        <w:bidi w:val="0"/>
        <w:spacing w:after="280" w:afterAutospacing="1"/>
        <w:rPr>
          <w:rFonts w:ascii="Garamond" w:hAnsi="Garamond"/>
          <w:sz w:val="22"/>
          <w:szCs w:val="22"/>
        </w:rPr>
      </w:pPr>
      <w:r>
        <w:rPr>
          <w:rFonts w:ascii="Garamond" w:hAnsi="Garamond"/>
          <w:sz w:val="22"/>
          <w:szCs w:val="22"/>
        </w:rPr>
        <w:instrText xml:space="preserve">4 Participants will be able to identify metrics to use to measure the success of a collaborative transition-of-care discharge program. </w:instrText>
      </w:r>
    </w:p>
    <w:p w:rsidR="004777F1">
      <w:pPr>
        <w:bidi w:val="0"/>
        <w:spacing w:after="280" w:afterAutospacing="1"/>
        <w:rPr>
          <w:rFonts w:ascii="Garamond" w:hAnsi="Garamond"/>
          <w:sz w:val="22"/>
          <w:szCs w:val="22"/>
        </w:rPr>
      </w:pPr>
      <w:r>
        <w:rPr>
          <w:rFonts w:ascii="Garamond" w:hAnsi="Garamond"/>
          <w:sz w:val="22"/>
          <w:szCs w:val="22"/>
        </w:rPr>
        <w:instrText xml:space="preserve">5 Participants will be able to discuss how to transition a collaborative program to other inpatient areas at a pediatric care center.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Participants will be able to list literature-reported benefits of a successful transition of care discharge program. </w:instrText>
      </w:r>
    </w:p>
    <w:p w:rsidP="004777F1">
      <w:pPr>
        <w:ind w:left="540" w:hanging="180"/>
        <w:rPr>
          <w:rFonts w:ascii="Garamond" w:hAnsi="Garamond"/>
          <w:sz w:val="22"/>
          <w:szCs w:val="22"/>
        </w:rPr>
      </w:pPr>
      <w:r>
        <w:rPr>
          <w:rFonts w:ascii="Garamond" w:hAnsi="Garamond"/>
          <w:sz w:val="22"/>
          <w:szCs w:val="22"/>
        </w:rPr>
        <w:instrText xml:space="preserve">2 Participants will be able to describe two interventions implemented to increase the efficiency of patient enrollment in the program. </w:instrText>
      </w:r>
    </w:p>
    <w:p w:rsidP="004777F1">
      <w:pPr>
        <w:ind w:left="540" w:hanging="180"/>
        <w:rPr>
          <w:rFonts w:ascii="Garamond" w:hAnsi="Garamond"/>
          <w:sz w:val="22"/>
          <w:szCs w:val="22"/>
        </w:rPr>
      </w:pPr>
      <w:r>
        <w:rPr>
          <w:rFonts w:ascii="Garamond" w:hAnsi="Garamond"/>
          <w:sz w:val="22"/>
          <w:szCs w:val="22"/>
        </w:rPr>
        <w:instrText xml:space="preserve">3 Participants will be able to discuss the outcome of pharmacy-nursing collaboration on a pediatric inpatient unit. </w:instrText>
      </w:r>
    </w:p>
    <w:p w:rsidP="004777F1">
      <w:pPr>
        <w:ind w:left="540" w:hanging="180"/>
        <w:rPr>
          <w:rFonts w:ascii="Garamond" w:hAnsi="Garamond"/>
          <w:sz w:val="22"/>
          <w:szCs w:val="22"/>
        </w:rPr>
      </w:pPr>
      <w:r>
        <w:rPr>
          <w:rFonts w:ascii="Garamond" w:hAnsi="Garamond"/>
          <w:sz w:val="22"/>
          <w:szCs w:val="22"/>
        </w:rPr>
        <w:instrText xml:space="preserve">4 Participants will be able to identify metrics to use to measure the success of a collaborative transition-of-care discharge program. </w:instrText>
      </w:r>
    </w:p>
    <w:p w:rsidP="004777F1">
      <w:pPr>
        <w:ind w:left="540" w:hanging="180"/>
        <w:rPr>
          <w:rFonts w:ascii="Garamond" w:hAnsi="Garamond"/>
          <w:sz w:val="22"/>
          <w:szCs w:val="22"/>
        </w:rPr>
      </w:pPr>
      <w:r>
        <w:rPr>
          <w:rFonts w:ascii="Garamond" w:hAnsi="Garamond"/>
          <w:sz w:val="22"/>
          <w:szCs w:val="22"/>
        </w:rPr>
        <w:instrText xml:space="preserve">5 Participants will be able to discuss how to transition a collaborative program to other inpatient areas at a pediatric care center.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Participants will be able to list literature-reported benefits of a successful transition of care discharge program. </w:t>
      </w:r>
    </w:p>
    <w:p w:rsidP="004777F1">
      <w:pPr>
        <w:ind w:left="540" w:hanging="180"/>
        <w:rPr>
          <w:rFonts w:ascii="Garamond" w:hAnsi="Garamond"/>
          <w:sz w:val="22"/>
          <w:szCs w:val="22"/>
        </w:rPr>
      </w:pPr>
      <w:r>
        <w:rPr>
          <w:rFonts w:ascii="Garamond" w:hAnsi="Garamond"/>
          <w:sz w:val="22"/>
          <w:szCs w:val="22"/>
        </w:rPr>
        <w:t xml:space="preserve">2 Participants will be able to describe two interventions implemented to increase the efficiency of patient enrollment in the program. </w:t>
      </w:r>
    </w:p>
    <w:p w:rsidP="004777F1">
      <w:pPr>
        <w:ind w:left="540" w:hanging="180"/>
        <w:rPr>
          <w:rFonts w:ascii="Garamond" w:hAnsi="Garamond"/>
          <w:sz w:val="22"/>
          <w:szCs w:val="22"/>
        </w:rPr>
      </w:pPr>
      <w:r>
        <w:rPr>
          <w:rFonts w:ascii="Garamond" w:hAnsi="Garamond"/>
          <w:sz w:val="22"/>
          <w:szCs w:val="22"/>
        </w:rPr>
        <w:t xml:space="preserve">3 Participants will be able to discuss the outcome of pharmacy-nursing collaboration on a pediatric inpatient unit. </w:t>
      </w:r>
    </w:p>
    <w:p w:rsidP="004777F1">
      <w:pPr>
        <w:ind w:left="540" w:hanging="180"/>
        <w:rPr>
          <w:rFonts w:ascii="Garamond" w:hAnsi="Garamond"/>
          <w:sz w:val="22"/>
          <w:szCs w:val="22"/>
        </w:rPr>
      </w:pPr>
      <w:r>
        <w:rPr>
          <w:rFonts w:ascii="Garamond" w:hAnsi="Garamond"/>
          <w:sz w:val="22"/>
          <w:szCs w:val="22"/>
        </w:rPr>
        <w:t xml:space="preserve">4 Participants will be able to identify metrics to use to measure the success of a collaborative transition-of-care discharge program. </w:t>
      </w:r>
    </w:p>
    <w:p w:rsidR="004777F1" w:rsidP="004777F1">
      <w:pPr>
        <w:ind w:left="540" w:hanging="180"/>
        <w:rPr>
          <w:rFonts w:ascii="Garamond" w:hAnsi="Garamond"/>
          <w:sz w:val="22"/>
          <w:szCs w:val="22"/>
        </w:rPr>
      </w:pPr>
      <w:r>
        <w:rPr>
          <w:rFonts w:ascii="Garamond" w:hAnsi="Garamond"/>
          <w:sz w:val="22"/>
          <w:szCs w:val="22"/>
        </w:rPr>
        <w:t xml:space="preserve">5 Participants will be able to discuss how to transition a collaborative program to other inpatient areas at a pediatric care center.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492817034"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1551826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