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11,</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Optimizing the Medical Home: Clinical Informatics for Interoperability &amp; Better Patient Care by Shravani Vundavalli, MD, Shama Patel, MD, MPH, and Alysha Taxter, MD</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Optimizing the Medical Home: Clinical Informatics for Interoperability &amp; Better Patient Care by Shravani Vundavalli, MD, Shama Patel, MD, MPH, and Alysha Taxter, MD</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the role of health information technology in the Medical Home model.</w:instrText>
      </w:r>
    </w:p>
    <w:p w:rsidR="004777F1">
      <w:pPr>
        <w:bidi w:val="0"/>
        <w:spacing w:after="280" w:afterAutospacing="1"/>
        <w:rPr>
          <w:rFonts w:ascii="Garamond" w:hAnsi="Garamond"/>
          <w:sz w:val="22"/>
          <w:szCs w:val="22"/>
        </w:rPr>
      </w:pPr>
      <w:r>
        <w:rPr>
          <w:rFonts w:ascii="Garamond" w:hAnsi="Garamond"/>
          <w:sz w:val="22"/>
          <w:szCs w:val="22"/>
        </w:rPr>
        <w:instrText>2 Identify challenges and solutions for data-sharing across pediatric care settings.</w:instrText>
      </w:r>
    </w:p>
    <w:p w:rsidR="004777F1">
      <w:pPr>
        <w:bidi w:val="0"/>
        <w:spacing w:after="280" w:afterAutospacing="1"/>
        <w:rPr>
          <w:rFonts w:ascii="Garamond" w:hAnsi="Garamond"/>
          <w:sz w:val="22"/>
          <w:szCs w:val="22"/>
        </w:rPr>
      </w:pPr>
      <w:r>
        <w:rPr>
          <w:rFonts w:ascii="Garamond" w:hAnsi="Garamond"/>
          <w:sz w:val="22"/>
          <w:szCs w:val="22"/>
        </w:rPr>
        <w:instrText>3 Evaluate the impact of clinical informatics tools on both patient outcomes and provider efficiency.</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role of health information technology in the Medical Home model.</w:instrText>
      </w:r>
    </w:p>
    <w:p w:rsidP="004777F1">
      <w:pPr>
        <w:ind w:left="540" w:hanging="180"/>
        <w:rPr>
          <w:rFonts w:ascii="Garamond" w:hAnsi="Garamond"/>
          <w:sz w:val="22"/>
          <w:szCs w:val="22"/>
        </w:rPr>
      </w:pPr>
      <w:r>
        <w:rPr>
          <w:rFonts w:ascii="Garamond" w:hAnsi="Garamond"/>
          <w:sz w:val="22"/>
          <w:szCs w:val="22"/>
        </w:rPr>
        <w:instrText>2 Identify challenges and solutions for data-sharing across pediatric care settings.</w:instrText>
      </w:r>
    </w:p>
    <w:p w:rsidP="004777F1">
      <w:pPr>
        <w:ind w:left="540" w:hanging="180"/>
        <w:rPr>
          <w:rFonts w:ascii="Garamond" w:hAnsi="Garamond"/>
          <w:sz w:val="22"/>
          <w:szCs w:val="22"/>
        </w:rPr>
      </w:pPr>
      <w:r>
        <w:rPr>
          <w:rFonts w:ascii="Garamond" w:hAnsi="Garamond"/>
          <w:sz w:val="22"/>
          <w:szCs w:val="22"/>
        </w:rPr>
        <w:instrText>3 Evaluate the impact of clinical informatics tools on both patient outcomes and provider efficiency.</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role of health information technology in the Medical Home model.</w:t>
      </w:r>
    </w:p>
    <w:p w:rsidP="004777F1">
      <w:pPr>
        <w:ind w:left="540" w:hanging="180"/>
        <w:rPr>
          <w:rFonts w:ascii="Garamond" w:hAnsi="Garamond"/>
          <w:sz w:val="22"/>
          <w:szCs w:val="22"/>
        </w:rPr>
      </w:pPr>
      <w:r>
        <w:rPr>
          <w:rFonts w:ascii="Garamond" w:hAnsi="Garamond"/>
          <w:sz w:val="22"/>
          <w:szCs w:val="22"/>
        </w:rPr>
        <w:t>2 Identify challenges and solutions for data-sharing across pediatric care settings.</w:t>
      </w:r>
    </w:p>
    <w:p w:rsidR="004777F1" w:rsidP="004777F1">
      <w:pPr>
        <w:ind w:left="540" w:hanging="180"/>
        <w:rPr>
          <w:rFonts w:ascii="Garamond" w:hAnsi="Garamond"/>
          <w:sz w:val="22"/>
          <w:szCs w:val="22"/>
        </w:rPr>
      </w:pPr>
      <w:r>
        <w:rPr>
          <w:rFonts w:ascii="Garamond" w:hAnsi="Garamond"/>
          <w:sz w:val="22"/>
          <w:szCs w:val="22"/>
        </w:rPr>
        <w:t>3 Evaluate the impact of clinical informatics tools on both patient outcomes and provider efficiency.</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08608674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966079489"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9844888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