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38673</w:instrText>
      </w:r>
      <w:r>
        <w:rPr>
          <w:rFonts w:ascii="Garamond" w:hAnsi="Garamond"/>
          <w:bCs/>
        </w:rPr>
        <w:instrText xml:space="preserve"> &lt;&gt; "" "</w:instrText>
      </w:r>
      <w:r>
        <w:rPr>
          <w:rFonts w:ascii="Garamond" w:hAnsi="Garamond"/>
          <w:bCs/>
        </w:rPr>
        <w:instrText>2025 Pediatric Grand Rounds On Demand</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2025 Pediatric Grand Rounds On Demand</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31,</w:t>
      </w:r>
      <w:r>
        <w:rPr>
          <w:rFonts w:ascii="Garamond" w:hAnsi="Garamond"/>
          <w:bCs/>
        </w:rPr>
        <w:t xml:space="preserve"> 2025 - 12:00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38673</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PGROD: Navigating the Nexus to Improve Child Health: Research, Leadership, and Life in Medicine by Stephanie Davis, MD</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PGROD: Navigating the Nexus to Improve Child Health: Research, Leadership, and Life in Medicine by Stephanie Davis, MD</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Hallberg,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Weiner,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Susi Miller, MLIS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Koterba,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Marcie Rehmar-Rogell,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Sapko , Chief Pharmacy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Leena Nahata,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support-National Institutes of Health|Consulting Fee-Worth the Wait nonprofit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Liz Bonachea,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Tahagod Mohamed,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LEVINSON,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Debra Boyer,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Ernest,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Sofia Davila,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Meade, MD,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the pathophysiology, origins of early lung disease, and phenotypic features of cystic fibrosis and primary ciliary dyskinesia.</w:instrText>
      </w:r>
    </w:p>
    <w:p w:rsidR="004777F1">
      <w:pPr>
        <w:bidi w:val="0"/>
        <w:spacing w:after="280" w:afterAutospacing="1"/>
        <w:rPr>
          <w:rFonts w:ascii="Garamond" w:hAnsi="Garamond"/>
          <w:sz w:val="22"/>
          <w:szCs w:val="22"/>
        </w:rPr>
      </w:pPr>
      <w:r>
        <w:rPr>
          <w:rFonts w:ascii="Garamond" w:hAnsi="Garamond"/>
          <w:sz w:val="22"/>
          <w:szCs w:val="22"/>
        </w:rPr>
        <w:instrText>2 Identify tools that help in diagnosing primary ciliary dyskinesia.</w:instrText>
      </w:r>
    </w:p>
    <w:p w:rsidR="004777F1">
      <w:pPr>
        <w:bidi w:val="0"/>
        <w:spacing w:after="280" w:afterAutospacing="1"/>
        <w:rPr>
          <w:rFonts w:ascii="Garamond" w:hAnsi="Garamond"/>
          <w:sz w:val="22"/>
          <w:szCs w:val="22"/>
        </w:rPr>
      </w:pPr>
      <w:r>
        <w:rPr>
          <w:rFonts w:ascii="Garamond" w:hAnsi="Garamond"/>
          <w:sz w:val="22"/>
          <w:szCs w:val="22"/>
        </w:rPr>
        <w:instrText>3 Highlight clinical studies and trials in these rare lung diseases.</w:instrText>
      </w:r>
    </w:p>
    <w:p w:rsidR="004777F1">
      <w:pPr>
        <w:bidi w:val="0"/>
        <w:spacing w:after="280" w:afterAutospacing="1"/>
        <w:rPr>
          <w:rFonts w:ascii="Garamond" w:hAnsi="Garamond"/>
          <w:sz w:val="22"/>
          <w:szCs w:val="22"/>
        </w:rPr>
      </w:pPr>
      <w:r>
        <w:rPr>
          <w:rFonts w:ascii="Garamond" w:hAnsi="Garamond"/>
          <w:sz w:val="22"/>
          <w:szCs w:val="22"/>
        </w:rPr>
        <w:instrText>4 Discuss how to navigate leadership and life in medicine while pursuing research to improve child lung health.</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pathophysiology, origins of early lung disease, and phenotypic features of cystic fibrosis and primary ciliary dyskinesia.</w:instrText>
      </w:r>
    </w:p>
    <w:p w:rsidP="004777F1">
      <w:pPr>
        <w:ind w:left="540" w:hanging="180"/>
        <w:rPr>
          <w:rFonts w:ascii="Garamond" w:hAnsi="Garamond"/>
          <w:sz w:val="22"/>
          <w:szCs w:val="22"/>
        </w:rPr>
      </w:pPr>
      <w:r>
        <w:rPr>
          <w:rFonts w:ascii="Garamond" w:hAnsi="Garamond"/>
          <w:sz w:val="22"/>
          <w:szCs w:val="22"/>
        </w:rPr>
        <w:instrText>2 Identify tools that help in diagnosing primary ciliary dyskinesia.</w:instrText>
      </w:r>
    </w:p>
    <w:p w:rsidP="004777F1">
      <w:pPr>
        <w:ind w:left="540" w:hanging="180"/>
        <w:rPr>
          <w:rFonts w:ascii="Garamond" w:hAnsi="Garamond"/>
          <w:sz w:val="22"/>
          <w:szCs w:val="22"/>
        </w:rPr>
      </w:pPr>
      <w:r>
        <w:rPr>
          <w:rFonts w:ascii="Garamond" w:hAnsi="Garamond"/>
          <w:sz w:val="22"/>
          <w:szCs w:val="22"/>
        </w:rPr>
        <w:instrText>3 Highlight clinical studies and trials in these rare lung diseases.</w:instrText>
      </w:r>
    </w:p>
    <w:p w:rsidP="004777F1">
      <w:pPr>
        <w:ind w:left="540" w:hanging="180"/>
        <w:rPr>
          <w:rFonts w:ascii="Garamond" w:hAnsi="Garamond"/>
          <w:sz w:val="22"/>
          <w:szCs w:val="22"/>
        </w:rPr>
      </w:pPr>
      <w:r>
        <w:rPr>
          <w:rFonts w:ascii="Garamond" w:hAnsi="Garamond"/>
          <w:sz w:val="22"/>
          <w:szCs w:val="22"/>
        </w:rPr>
        <w:instrText>4 Discuss how to navigate leadership and life in medicine while pursuing research to improve child lung health.</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pathophysiology, origins of early lung disease, and phenotypic features of cystic fibrosis and primary ciliary dyskinesia.</w:t>
      </w:r>
    </w:p>
    <w:p w:rsidP="004777F1">
      <w:pPr>
        <w:ind w:left="540" w:hanging="180"/>
        <w:rPr>
          <w:rFonts w:ascii="Garamond" w:hAnsi="Garamond"/>
          <w:sz w:val="22"/>
          <w:szCs w:val="22"/>
        </w:rPr>
      </w:pPr>
      <w:r>
        <w:rPr>
          <w:rFonts w:ascii="Garamond" w:hAnsi="Garamond"/>
          <w:sz w:val="22"/>
          <w:szCs w:val="22"/>
        </w:rPr>
        <w:t>2 Identify tools that help in diagnosing primary ciliary dyskinesia.</w:t>
      </w:r>
    </w:p>
    <w:p w:rsidP="004777F1">
      <w:pPr>
        <w:ind w:left="540" w:hanging="180"/>
        <w:rPr>
          <w:rFonts w:ascii="Garamond" w:hAnsi="Garamond"/>
          <w:sz w:val="22"/>
          <w:szCs w:val="22"/>
        </w:rPr>
      </w:pPr>
      <w:r>
        <w:rPr>
          <w:rFonts w:ascii="Garamond" w:hAnsi="Garamond"/>
          <w:sz w:val="22"/>
          <w:szCs w:val="22"/>
        </w:rPr>
        <w:t>3 Highlight clinical studies and trials in these rare lung diseases.</w:t>
      </w:r>
    </w:p>
    <w:p w:rsidR="004777F1" w:rsidP="004777F1">
      <w:pPr>
        <w:ind w:left="540" w:hanging="180"/>
        <w:rPr>
          <w:rFonts w:ascii="Garamond" w:hAnsi="Garamond"/>
          <w:sz w:val="22"/>
          <w:szCs w:val="22"/>
        </w:rPr>
      </w:pPr>
      <w:r>
        <w:rPr>
          <w:rFonts w:ascii="Garamond" w:hAnsi="Garamond"/>
          <w:sz w:val="22"/>
          <w:szCs w:val="22"/>
        </w:rPr>
        <w:t>4 Discuss how to navigate leadership and life in medicine while pursuing research to improve child lung health.</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1.00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897799009"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71450747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289220103"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