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46435</w:instrText>
      </w:r>
      <w:r>
        <w:rPr>
          <w:rFonts w:ascii="Garamond" w:hAnsi="Garamond"/>
          <w:bCs/>
        </w:rPr>
        <w:instrText xml:space="preserve"> &lt;&gt; "" "</w:instrText>
      </w:r>
      <w:r>
        <w:rPr>
          <w:rFonts w:ascii="Garamond" w:hAnsi="Garamond"/>
          <w:bCs/>
        </w:rPr>
        <w:instrText>Primary Care Education Series</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Primary Care Education Series</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October 9,</w:t>
      </w:r>
      <w:r>
        <w:rPr>
          <w:rFonts w:ascii="Garamond" w:hAnsi="Garamond"/>
          <w:bCs/>
        </w:rPr>
        <w:t xml:space="preserve"> 2025 - 5:00 PM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46435</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Primary Care Education Series - Pain in Children: A Primary Care Approach for Evaluation/Management</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Primary Care Education Series - Pain in Children: A Primary Care Approach for Evaluation/Management</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Kyla Driest, MD,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Krista Buckingham,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Cody Hostutler,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Beneficiary-American Academy of Pediatrics - 07/31/2025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Kaitlin L'Italien,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Lindsey Vater,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consultant-Tourette Association of America (Relationship has ended)|Honoraria-Riley Children's Hospital (Relationship has ended) - 03/24/2025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Raul E Sanchez,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Honoraria-Sanofi (Relationship has ended) - 06/07/2025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Smith,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Jagadisharaje Urs,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Long,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Connelly, Physician Liaison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Timothy S Crabtree,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Allen Kadado,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Fee-OrthoPediatrics - 10/15/2024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Sean A Tabaie, MD, MBA, FAAOS FAOA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consultant-Arthrex (Relationship has ended)|Paid consultant-OrthoPediatrics (Relationship has ended)|Paid consultant-Johnson &amp; Johnson (Relationship has ended) - 04/09/2025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Improve communication and collaboration within the health care team</w:instrText>
      </w:r>
    </w:p>
    <w:p w:rsidR="004777F1">
      <w:pPr>
        <w:bidi w:val="0"/>
        <w:spacing w:after="280" w:afterAutospacing="1"/>
        <w:rPr>
          <w:rFonts w:ascii="Garamond" w:hAnsi="Garamond"/>
          <w:sz w:val="22"/>
          <w:szCs w:val="22"/>
        </w:rPr>
      </w:pPr>
      <w:r>
        <w:rPr>
          <w:rFonts w:ascii="Garamond" w:hAnsi="Garamond"/>
          <w:sz w:val="22"/>
          <w:szCs w:val="22"/>
        </w:rPr>
        <w:instrText>2 Participants will analyze their level of fidelity with best practices shared by subject matter experts in activity sessions.</w:instrText>
      </w:r>
    </w:p>
    <w:p w:rsidR="004777F1">
      <w:pPr>
        <w:bidi w:val="0"/>
        <w:spacing w:after="280" w:afterAutospacing="1"/>
        <w:rPr>
          <w:rFonts w:ascii="Garamond" w:hAnsi="Garamond"/>
          <w:sz w:val="22"/>
          <w:szCs w:val="22"/>
        </w:rPr>
      </w:pPr>
      <w:r>
        <w:rPr>
          <w:rFonts w:ascii="Garamond" w:hAnsi="Garamond"/>
          <w:sz w:val="22"/>
          <w:szCs w:val="22"/>
        </w:rPr>
        <w:instrText xml:space="preserve">3 Identify at least 1 evidence-based change participants can make in their practice based on findings from presented data.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Improve communication and collaboration within the health care team</w:instrText>
      </w:r>
    </w:p>
    <w:p w:rsidP="004777F1">
      <w:pPr>
        <w:ind w:left="540" w:hanging="180"/>
        <w:rPr>
          <w:rFonts w:ascii="Garamond" w:hAnsi="Garamond"/>
          <w:sz w:val="22"/>
          <w:szCs w:val="22"/>
        </w:rPr>
      </w:pPr>
      <w:r>
        <w:rPr>
          <w:rFonts w:ascii="Garamond" w:hAnsi="Garamond"/>
          <w:sz w:val="22"/>
          <w:szCs w:val="22"/>
        </w:rPr>
        <w:instrText>2 Participants will analyze their level of fidelity with best practices shared by subject matter experts in activity sessions.</w:instrText>
      </w:r>
    </w:p>
    <w:p w:rsidP="004777F1">
      <w:pPr>
        <w:ind w:left="540" w:hanging="180"/>
        <w:rPr>
          <w:rFonts w:ascii="Garamond" w:hAnsi="Garamond"/>
          <w:sz w:val="22"/>
          <w:szCs w:val="22"/>
        </w:rPr>
      </w:pPr>
      <w:r>
        <w:rPr>
          <w:rFonts w:ascii="Garamond" w:hAnsi="Garamond"/>
          <w:sz w:val="22"/>
          <w:szCs w:val="22"/>
        </w:rPr>
        <w:instrText xml:space="preserve">3 Identify at least 1 evidence-based change participants can make in their practice based on findings from presented data.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Improve communication and collaboration within the health care team</w:t>
      </w:r>
    </w:p>
    <w:p w:rsidP="004777F1">
      <w:pPr>
        <w:ind w:left="540" w:hanging="180"/>
        <w:rPr>
          <w:rFonts w:ascii="Garamond" w:hAnsi="Garamond"/>
          <w:sz w:val="22"/>
          <w:szCs w:val="22"/>
        </w:rPr>
      </w:pPr>
      <w:r>
        <w:rPr>
          <w:rFonts w:ascii="Garamond" w:hAnsi="Garamond"/>
          <w:sz w:val="22"/>
          <w:szCs w:val="22"/>
        </w:rPr>
        <w:t>2 Participants will analyze their level of fidelity with best practices shared by subject matter experts in activity sessions.</w:t>
      </w:r>
    </w:p>
    <w:p w:rsidR="004777F1" w:rsidP="004777F1">
      <w:pPr>
        <w:ind w:left="540" w:hanging="180"/>
        <w:rPr>
          <w:rFonts w:ascii="Garamond" w:hAnsi="Garamond"/>
          <w:sz w:val="22"/>
          <w:szCs w:val="22"/>
        </w:rPr>
      </w:pPr>
      <w:r>
        <w:rPr>
          <w:rFonts w:ascii="Garamond" w:hAnsi="Garamond"/>
          <w:sz w:val="22"/>
          <w:szCs w:val="22"/>
        </w:rPr>
        <w:t xml:space="preserve">3 Identify at least 1 evidence-based change participants can make in their practice based on findings from presented data.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2.00</w:instrText>
      </w:r>
      <w:r>
        <w:rPr>
          <w:sz w:val="20"/>
          <w:szCs w:val="20"/>
        </w:rPr>
        <w:instrText xml:space="preserve"> &gt; 0 "(</w:instrText>
      </w:r>
      <w:r>
        <w:rPr>
          <w:sz w:val="20"/>
          <w:szCs w:val="20"/>
        </w:rPr>
        <w:instrText>2.00</w:instrText>
      </w:r>
      <w:r>
        <w:rPr>
          <w:sz w:val="20"/>
          <w:szCs w:val="20"/>
        </w:rPr>
        <w:instrText xml:space="preserve"> ANCC contact hour(s)) " "" </w:instrText>
      </w:r>
      <w:r>
        <w:rPr>
          <w:sz w:val="20"/>
          <w:szCs w:val="20"/>
        </w:rPr>
        <w:fldChar w:fldCharType="separate"/>
      </w:r>
      <w:r>
        <w:rPr>
          <w:sz w:val="20"/>
          <w:szCs w:val="20"/>
        </w:rPr>
        <w:t>(</w:t>
      </w:r>
      <w:r>
        <w:rPr>
          <w:sz w:val="20"/>
          <w:szCs w:val="20"/>
        </w:rPr>
        <w:t>2.00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2.00</w:instrText>
      </w:r>
      <w:r>
        <w:rPr>
          <w:sz w:val="20"/>
          <w:szCs w:val="20"/>
        </w:rPr>
        <w:instrText xml:space="preserve"> &gt; 0 "(</w:instrText>
      </w:r>
      <w:r>
        <w:rPr>
          <w:sz w:val="20"/>
          <w:szCs w:val="20"/>
        </w:rPr>
        <w:instrText>2.00</w:instrText>
      </w:r>
      <w:r>
        <w:rPr>
          <w:sz w:val="20"/>
          <w:szCs w:val="20"/>
        </w:rPr>
        <w:instrText xml:space="preserve"> ACPE contact hour(s)) " "" </w:instrText>
      </w:r>
      <w:r>
        <w:rPr>
          <w:sz w:val="20"/>
          <w:szCs w:val="20"/>
        </w:rPr>
        <w:fldChar w:fldCharType="separate"/>
      </w:r>
      <w:r>
        <w:rPr>
          <w:sz w:val="20"/>
          <w:szCs w:val="20"/>
        </w:rPr>
        <w:t>(</w:t>
      </w:r>
      <w:r>
        <w:rPr>
          <w:sz w:val="20"/>
          <w:szCs w:val="20"/>
        </w:rPr>
        <w:t>2.00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2.00</w:instrText>
      </w:r>
      <w:r>
        <w:rPr>
          <w:sz w:val="20"/>
          <w:szCs w:val="20"/>
        </w:rPr>
        <w:instrText xml:space="preserve"> &gt; 0 "(</w:instrText>
      </w:r>
      <w:r>
        <w:rPr>
          <w:sz w:val="20"/>
          <w:szCs w:val="20"/>
        </w:rPr>
        <w:instrText>2.00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Live Activity</w:instrText>
      </w:r>
      <w:r>
        <w:rPr>
          <w:sz w:val="20"/>
          <w:szCs w:val="20"/>
        </w:rPr>
        <w:instrText>"</w:instrText>
      </w:r>
      <w:r>
        <w:rPr>
          <w:sz w:val="20"/>
          <w:szCs w:val="20"/>
        </w:rPr>
        <w:instrText xml:space="preserve"> &lt;&gt; "" "</w:instrText>
      </w:r>
      <w:r>
        <w:rPr>
          <w:sz w:val="20"/>
          <w:szCs w:val="20"/>
        </w:rPr>
        <w:instrText>live activity</w:instrText>
      </w:r>
      <w:r>
        <w:rPr>
          <w:sz w:val="20"/>
          <w:szCs w:val="20"/>
        </w:rPr>
        <w:instrText xml:space="preserve">" "activity" </w:instrText>
      </w:r>
      <w:r>
        <w:rPr>
          <w:sz w:val="20"/>
          <w:szCs w:val="20"/>
        </w:rPr>
        <w:fldChar w:fldCharType="separate"/>
      </w:r>
      <w:r>
        <w:rPr>
          <w:sz w:val="20"/>
          <w:szCs w:val="20"/>
        </w:rPr>
        <w:instrText>live activity</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2.00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2.00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live activity</w:t>
      </w:r>
      <w:r>
        <w:rPr>
          <w:sz w:val="20"/>
          <w:szCs w:val="20"/>
        </w:rPr>
        <w:t xml:space="preserve"> </w:t>
      </w:r>
      <w:r w:rsidRPr="00443EE9">
        <w:rPr>
          <w:sz w:val="20"/>
          <w:szCs w:val="20"/>
        </w:rPr>
        <w:t xml:space="preserve">for a maximum of </w:t>
      </w:r>
      <w:r>
        <w:rPr>
          <w:sz w:val="20"/>
          <w:szCs w:val="20"/>
        </w:rPr>
        <w:t>2.00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2.00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2.00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779530779"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2.00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2.00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instrText>2.00</w:instrText>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9264"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711889595"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t xml:space="preserve">Successful completion of this live CME activity, which includes participation in the activity, with individual assessments of the participant and feedback to the participant enables the participant to earn up to </w:t>
      </w:r>
      <w:r w:rsidRPr="00207F0D">
        <w:rPr>
          <w:rFonts w:asciiTheme="minorHAnsi" w:hAnsiTheme="minorHAnsi"/>
          <w:noProof/>
          <w:sz w:val="20"/>
          <w:szCs w:val="20"/>
        </w:rPr>
        <w:t>2.00</w:t>
      </w:r>
      <w:r w:rsidRPr="00207F0D">
        <w:rPr>
          <w:rFonts w:asciiTheme="minorHAnsi" w:hAnsiTheme="minorHAnsi"/>
          <w:noProof/>
          <w:sz w:val="20"/>
          <w:szCs w:val="20"/>
        </w:rPr>
        <w:t xml:space="preserve"> MOC points in the American Board of Pediatrics' (ABP) Maintenance of Certification (MOC) program. It is the CME activity provider’s responsibility to submit participant completion information to ACCME for the purpose of granting ABP MOC credit</w:t>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