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ED51A8" w:rsidRPr="00805AF2" w:rsidP="00ED51A8">
      <w:pPr>
        <w:rPr>
          <w:rFonts w:ascii="Garamond" w:hAnsi="Garamond"/>
          <w:b/>
          <w:bCs/>
        </w:rPr>
      </w:pPr>
      <w:r>
        <w:rPr>
          <w:rFonts w:ascii="Garamond" w:hAnsi="Garamond"/>
          <w:b/>
          <w:bCs/>
        </w:rPr>
        <w:t>Activity</w:t>
      </w:r>
      <w:r w:rsidRPr="00DE0ABE">
        <w:rPr>
          <w:rFonts w:ascii="Garamond" w:hAnsi="Garamond"/>
          <w:b/>
          <w:bCs/>
        </w:rPr>
        <w:t xml:space="preserve"> Name:</w:t>
      </w:r>
      <w:r w:rsidR="00C934F0">
        <w:rPr>
          <w:rFonts w:ascii="Garamond" w:hAnsi="Garamond"/>
          <w:bCs/>
        </w:rPr>
        <w:tab/>
      </w:r>
    </w:p>
    <w:p w:rsidR="00ED51A8" w:rsidP="00E462AF">
      <w:pPr>
        <w:pStyle w:val="ListParagraph"/>
        <w:numPr>
          <w:ilvl w:val="0"/>
          <w:numId w:val="11"/>
        </w:numPr>
        <w:rPr>
          <w:rFonts w:ascii="Garamond" w:hAnsi="Garamond"/>
          <w:bCs/>
        </w:rPr>
      </w:pPr>
      <w:r>
        <w:rPr>
          <w:rFonts w:ascii="Garamond" w:hAnsi="Garamond"/>
          <w:bCs/>
        </w:rPr>
        <w:fldChar w:fldCharType="begin"/>
      </w:r>
      <w:r>
        <w:rPr>
          <w:rFonts w:ascii="Garamond" w:hAnsi="Garamond"/>
          <w:bCs/>
        </w:rPr>
        <w:instrText xml:space="preserve"> IF </w:instrText>
      </w:r>
      <w:r>
        <w:rPr>
          <w:rFonts w:ascii="Garamond" w:hAnsi="Garamond"/>
          <w:bCs/>
        </w:rPr>
        <w:instrText>"</w:instrText>
      </w:r>
      <w:r>
        <w:rPr>
          <w:rFonts w:ascii="Garamond" w:hAnsi="Garamond"/>
          <w:bCs/>
        </w:rPr>
        <w:instrText>"</w:instrText>
      </w:r>
      <w:r>
        <w:rPr>
          <w:rFonts w:ascii="Garamond" w:hAnsi="Garamond"/>
          <w:bCs/>
        </w:rPr>
        <w:instrText xml:space="preserve"> &lt;&gt; "" "</w:instrText>
      </w:r>
      <w:r>
        <w:rPr>
          <w:rFonts w:ascii="Garamond" w:hAnsi="Garamond"/>
          <w:bCs/>
        </w:rPr>
        <w:fldChar w:fldCharType="begin"/>
      </w:r>
      <w:r>
        <w:rPr>
          <w:rFonts w:ascii="Garamond" w:hAnsi="Garamond"/>
          <w:bCs/>
        </w:rPr>
        <w:instrText xml:space="preserve"> MERGEFIELD ParentName </w:instrText>
      </w:r>
      <w:r>
        <w:rPr>
          <w:rFonts w:ascii="Garamond" w:hAnsi="Garamond"/>
          <w:bCs/>
        </w:rPr>
        <w:fldChar w:fldCharType="separate"/>
      </w:r>
      <w:r w:rsidR="00443EE9">
        <w:rPr>
          <w:rFonts w:ascii="Garamond" w:hAnsi="Garamond"/>
          <w:bCs/>
          <w:noProof/>
        </w:rPr>
        <w:instrText>«ParentName»</w:instrText>
      </w:r>
      <w:r>
        <w:rPr>
          <w:rFonts w:ascii="Garamond" w:hAnsi="Garamond"/>
          <w:bCs/>
        </w:rPr>
        <w:fldChar w:fldCharType="end"/>
      </w:r>
      <w:r>
        <w:rPr>
          <w:rFonts w:ascii="Garamond" w:hAnsi="Garamond"/>
          <w:bCs/>
        </w:rPr>
        <w:instrText>" "</w:instrText>
      </w:r>
      <w:r>
        <w:rPr>
          <w:rFonts w:ascii="Garamond" w:hAnsi="Garamond"/>
          <w:bCs/>
        </w:rPr>
        <w:instrText>2025 PENTA Conference</w:instrText>
      </w:r>
      <w:r>
        <w:rPr>
          <w:rFonts w:ascii="Garamond" w:hAnsi="Garamond"/>
          <w:bCs/>
        </w:rPr>
        <w:instrText xml:space="preserve">" </w:instrText>
      </w:r>
      <w:r>
        <w:rPr>
          <w:rFonts w:ascii="Garamond" w:hAnsi="Garamond"/>
          <w:bCs/>
        </w:rPr>
        <w:fldChar w:fldCharType="separate"/>
      </w:r>
      <w:r>
        <w:rPr>
          <w:rFonts w:ascii="Garamond" w:hAnsi="Garamond"/>
          <w:bCs/>
        </w:rPr>
        <w:t>2025 PENTA Conference</w:t>
      </w:r>
      <w:r>
        <w:rPr>
          <w:rFonts w:ascii="Garamond" w:hAnsi="Garamond"/>
          <w:bCs/>
        </w:rPr>
        <w:fldChar w:fldCharType="end"/>
      </w:r>
    </w:p>
    <w:p w:rsidR="00E462AF" w:rsidRPr="00E462AF" w:rsidP="00E462AF">
      <w:pPr>
        <w:rPr>
          <w:rFonts w:ascii="Garamond" w:hAnsi="Garamond"/>
          <w:bCs/>
        </w:rPr>
      </w:pPr>
    </w:p>
    <w:p w:rsidR="00ED51A8" w:rsidRPr="00E462AF" w:rsidP="00ED51A8">
      <w:pPr>
        <w:rPr>
          <w:rFonts w:ascii="Garamond" w:hAnsi="Garamond"/>
          <w:bCs/>
        </w:rPr>
      </w:pPr>
      <w:r w:rsidRPr="00E462AF">
        <w:rPr>
          <w:rFonts w:ascii="Garamond" w:hAnsi="Garamond"/>
          <w:b/>
          <w:bCs/>
        </w:rPr>
        <w:t>Date</w:t>
      </w:r>
      <w:r w:rsidR="000D59D9">
        <w:rPr>
          <w:rFonts w:ascii="Garamond" w:hAnsi="Garamond"/>
          <w:b/>
          <w:bCs/>
        </w:rPr>
        <w:t xml:space="preserve"> &amp; Time</w:t>
      </w:r>
      <w:r w:rsidRPr="00E462AF">
        <w:rPr>
          <w:rFonts w:ascii="Garamond" w:hAnsi="Garamond"/>
          <w:bCs/>
        </w:rPr>
        <w:t>:</w:t>
      </w:r>
      <w:r w:rsidRPr="00E462AF" w:rsidR="00DE0ABE">
        <w:rPr>
          <w:rFonts w:ascii="Garamond" w:hAnsi="Garamond"/>
          <w:bCs/>
        </w:rPr>
        <w:t xml:space="preserve"> </w:t>
      </w:r>
      <w:r w:rsidRPr="00E462AF" w:rsidR="00805AF2">
        <w:rPr>
          <w:rFonts w:ascii="Garamond" w:hAnsi="Garamond"/>
          <w:bCs/>
        </w:rPr>
        <w:t xml:space="preserve"> </w:t>
      </w:r>
    </w:p>
    <w:p w:rsidR="00ED51A8" w:rsidP="00E462AF">
      <w:pPr>
        <w:pStyle w:val="ListParagraph"/>
        <w:numPr>
          <w:ilvl w:val="0"/>
          <w:numId w:val="10"/>
        </w:numPr>
        <w:rPr>
          <w:rFonts w:ascii="Garamond" w:hAnsi="Garamond"/>
          <w:bCs/>
        </w:rPr>
      </w:pPr>
      <w:r w:rsidR="00443EE9">
        <w:rPr>
          <w:rFonts w:ascii="Garamond" w:hAnsi="Garamond"/>
          <w:bCs/>
          <w:noProof/>
        </w:rPr>
        <w:t>November 21,</w:t>
      </w:r>
      <w:r>
        <w:rPr>
          <w:rFonts w:ascii="Garamond" w:hAnsi="Garamond"/>
          <w:bCs/>
        </w:rPr>
        <w:t xml:space="preserve"> 2025 - 11:30 AM</w:t>
      </w:r>
    </w:p>
    <w:p w:rsidR="00E462AF" w:rsidP="00E462AF">
      <w:pPr>
        <w:rPr>
          <w:rFonts w:ascii="Garamond" w:hAnsi="Garamond"/>
          <w:bCs/>
        </w:rPr>
      </w:pPr>
    </w:p>
    <w:p w:rsidR="009240FE" w:rsidP="00E462AF">
      <w:pPr>
        <w:rPr>
          <w:rFonts w:ascii="Garamond" w:hAnsi="Garamond"/>
          <w:b/>
        </w:rPr>
      </w:pPr>
      <w:r w:rsidRPr="009240FE">
        <w:rPr>
          <w:rFonts w:ascii="Garamond" w:hAnsi="Garamond"/>
          <w:bCs/>
          <w:sz w:val="22"/>
          <w:szCs w:val="22"/>
        </w:rPr>
        <w:fldChar w:fldCharType="begin"/>
      </w:r>
      <w:r w:rsidRPr="00FF34C0">
        <w:rPr>
          <w:rFonts w:ascii="Garamond" w:hAnsi="Garamond"/>
          <w:bCs/>
          <w:sz w:val="22"/>
          <w:szCs w:val="22"/>
        </w:rPr>
        <w:instrText xml:space="preserve"> IF </w:instrText>
      </w:r>
      <w:r w:rsidRPr="00FF34C0">
        <w:rPr>
          <w:rFonts w:ascii="Garamond" w:hAnsi="Garamond"/>
          <w:bCs/>
          <w:sz w:val="22"/>
          <w:szCs w:val="22"/>
        </w:rPr>
        <w:instrText>"</w:instrText>
      </w:r>
      <w:r w:rsidRPr="00FF34C0">
        <w:rPr>
          <w:rFonts w:ascii="Garamond" w:hAnsi="Garamond"/>
          <w:bCs/>
          <w:sz w:val="22"/>
          <w:szCs w:val="22"/>
        </w:rPr>
        <w:instrText>"</w:instrText>
      </w:r>
      <w:r>
        <w:rPr>
          <w:rFonts w:ascii="Garamond" w:hAnsi="Garamond"/>
          <w:bCs/>
          <w:sz w:val="22"/>
          <w:szCs w:val="22"/>
        </w:rPr>
        <w:instrText xml:space="preserve"> &lt;&gt; "" "</w:instrText>
      </w:r>
      <w:r>
        <w:rPr>
          <w:rFonts w:ascii="Garamond" w:hAnsi="Garamond"/>
          <w:b/>
        </w:rPr>
        <w:instrText>Presentation Title:</w:instrText>
      </w:r>
    </w:p>
    <w:p w:rsidR="009240FE" w:rsidP="009240FE">
      <w:pPr>
        <w:pStyle w:val="ListParagraph"/>
        <w:numPr>
          <w:ilvl w:val="0"/>
          <w:numId w:val="10"/>
        </w:numPr>
        <w:rPr>
          <w:rFonts w:ascii="Garamond" w:hAnsi="Garamond"/>
          <w:bCs/>
        </w:rPr>
      </w:pPr>
      <w:r>
        <w:rPr>
          <w:rFonts w:ascii="Garamond" w:hAnsi="Garamond"/>
          <w:bCs/>
        </w:rPr>
        <w:fldChar w:fldCharType="begin"/>
      </w:r>
      <w:r>
        <w:rPr>
          <w:rFonts w:ascii="Garamond" w:hAnsi="Garamond"/>
          <w:bCs/>
        </w:rPr>
        <w:instrText xml:space="preserve"> MERGEFIELD EventName </w:instrText>
      </w:r>
      <w:r>
        <w:rPr>
          <w:rFonts w:ascii="Garamond" w:hAnsi="Garamond"/>
          <w:bCs/>
        </w:rPr>
        <w:fldChar w:fldCharType="separate"/>
      </w:r>
      <w:r w:rsidR="00443EE9">
        <w:rPr>
          <w:rFonts w:ascii="Garamond" w:hAnsi="Garamond"/>
          <w:bCs/>
          <w:noProof/>
        </w:rPr>
        <w:instrText>«EventName»</w:instrText>
      </w:r>
      <w:r>
        <w:rPr>
          <w:rFonts w:ascii="Garamond" w:hAnsi="Garamond"/>
          <w:bCs/>
        </w:rPr>
        <w:fldChar w:fldCharType="end"/>
      </w:r>
    </w:p>
    <w:p w:rsidR="009240FE" w:rsidP="009240FE">
      <w:pPr>
        <w:rPr>
          <w:rFonts w:ascii="Garamond" w:hAnsi="Garamond"/>
          <w:bCs/>
        </w:rPr>
      </w:pPr>
    </w:p>
    <w:p w:rsidR="00443EE9" w:rsidP="00E462AF">
      <w:pPr>
        <w:rPr>
          <w:rFonts w:ascii="Garamond" w:hAnsi="Garamond"/>
          <w:b/>
          <w:noProof/>
        </w:rPr>
      </w:pPr>
      <w:r w:rsidRPr="009240FE">
        <w:rPr>
          <w:rFonts w:ascii="Garamond" w:hAnsi="Garamond"/>
          <w:bCs/>
        </w:rPr>
        <w:instrText>" ""</w:instrText>
      </w:r>
      <w:r w:rsidRPr="009240FE" w:rsidR="00FF34C0">
        <w:rPr>
          <w:rFonts w:ascii="Garamond" w:hAnsi="Garamond"/>
          <w:bCs/>
        </w:rPr>
        <w:instrText xml:space="preserve"> </w:instrText>
      </w:r>
      <w:r w:rsidRPr="009240FE" w:rsidR="00FF34C0">
        <w:rPr>
          <w:rFonts w:ascii="Garamond" w:hAnsi="Garamond"/>
          <w:bCs/>
          <w:sz w:val="22"/>
          <w:szCs w:val="22"/>
        </w:rPr>
        <w:fldChar w:fldCharType="separate"/>
      </w:r>
      <w:r w:rsidRPr="009240FE">
        <w:rPr>
          <w:rFonts w:ascii="Garamond" w:hAnsi="Garamond"/>
          <w:bCs/>
        </w:rPr>
        <w:fldChar w:fldCharType="end"/>
      </w:r>
      <w:r w:rsidRPr="00DE0ABE" w:rsidR="00ED51A8">
        <w:rPr>
          <w:rFonts w:ascii="Garamond" w:hAnsi="Garamond"/>
          <w:b/>
        </w:rPr>
        <w:t>Speakers</w:t>
      </w:r>
      <w:r w:rsidR="00DC47BB">
        <w:rPr>
          <w:rFonts w:ascii="Garamond" w:hAnsi="Garamond"/>
          <w:b/>
        </w:rPr>
        <w:t xml:space="preserve"> &amp; Planners Information</w:t>
      </w:r>
      <w:r w:rsidRPr="00DE0ABE" w:rsidR="00ED51A8">
        <w:rPr>
          <w:rFonts w:ascii="Garamond" w:hAnsi="Garamond"/>
          <w:b/>
        </w:rPr>
        <w:t>:</w:t>
      </w:r>
      <w:r w:rsidRPr="00DE0ABE" w:rsidR="00DE0ABE">
        <w:rPr>
          <w:rFonts w:ascii="Garamond" w:hAnsi="Garamond"/>
        </w:rPr>
        <w:t xml:space="preserve"> </w:t>
      </w:r>
      <w:r w:rsidR="00805AF2">
        <w:rPr>
          <w:rFonts w:ascii="Garamond" w:hAnsi="Garamond"/>
        </w:rPr>
        <w:t xml:space="preserve"> </w:t>
      </w:r>
    </w:p>
    <w:p w:rsidR="00FC42A7" w:rsidRPr="00FC42A7" w:rsidP="00ED51A8">
      <w:pPr>
        <w:rPr>
          <w:rFonts w:ascii="Garamond" w:hAnsi="Garamond"/>
          <w:sz w:val="16"/>
          <w:szCs w:val="16"/>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Stacy P Ardoin,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- 09/25/2025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Melissa Argraves, MD, MSEd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 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- 08/11/2025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Bill Black, PhD, Pediatric Psychologist</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- 09/22/2025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 xml:space="preserve">James Booker, Other , Advanced Data Analyst - Google </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Non-Clinical Exception</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Shannon C Darnell, PT, PT, MPT</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- 09/25/2025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Ysabella Esteban, MD, FAAP</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 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- 09/25/2025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Kelly Hallberg,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- 10/24/2025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Sarah Jones, BS, C-TAGME</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Non-Clinical Exception</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Stephen Kirkby ,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- 03/31/2025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Katelyn Krivchenia,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- 09/28/2025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Margaret Germain Lamb,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Grant or research support-Luminary Therapeutics - 09/22/2025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Elizabeth T Murray,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- 08/06/2025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Vidya Sivaraman,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- 10/03/2025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Ivana Stojkic, MD-- Select --</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- 09/22/2025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Alysha J Taxter,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Advisor-Epic Rheumatology Steering Board - 10/10/2025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Bethanne B Thomas, CPNP</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 Nurse 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- 08/08/2025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Kristin Whipple, OT</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- 09/24/2025</w:t>
            </w:r>
          </w:p>
        </w:tc>
      </w:tr>
    </w:tbl>
    <w:p w:rsidR="004777F1">
      <w:pPr>
        <w:bidi w:val="0"/>
        <w:spacing w:after="280" w:afterAutospacing="1"/>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IF </w:instrText>
      </w:r>
      <w:r>
        <w:rPr>
          <w:rFonts w:ascii="Garamond" w:hAnsi="Garamond"/>
          <w:sz w:val="22"/>
          <w:szCs w:val="22"/>
        </w:rPr>
        <w:instrText>"</w:instrText>
      </w:r>
      <w:r>
        <w:rPr>
          <w:rFonts w:ascii="Garamond" w:hAnsi="Garamond"/>
          <w:sz w:val="22"/>
          <w:szCs w:val="22"/>
        </w:rPr>
        <w:instrText>1 Assess strategies used to accurately diagnose pediatric conditions seen in various rheumatic diseases.</w:instrText>
      </w:r>
    </w:p>
    <w:p w:rsidR="004777F1">
      <w:pPr>
        <w:bidi w:val="0"/>
        <w:spacing w:after="280" w:afterAutospacing="1"/>
        <w:rPr>
          <w:rFonts w:ascii="Garamond" w:hAnsi="Garamond"/>
          <w:sz w:val="22"/>
          <w:szCs w:val="22"/>
        </w:rPr>
      </w:pPr>
      <w:r>
        <w:rPr>
          <w:rFonts w:ascii="Garamond" w:hAnsi="Garamond"/>
          <w:sz w:val="22"/>
          <w:szCs w:val="22"/>
        </w:rPr>
        <w:instrText>2 Acquire new insights into clinical reasoning behind each diagnosis and the purpose of any needed intervention.</w:instrText>
      </w:r>
    </w:p>
    <w:p w:rsidR="004777F1">
      <w:pPr>
        <w:bidi w:val="0"/>
        <w:spacing w:after="280" w:afterAutospacing="1"/>
        <w:rPr>
          <w:rFonts w:ascii="Garamond" w:hAnsi="Garamond"/>
          <w:sz w:val="22"/>
          <w:szCs w:val="22"/>
        </w:rPr>
      </w:pPr>
      <w:r>
        <w:rPr>
          <w:rFonts w:ascii="Garamond" w:hAnsi="Garamond"/>
          <w:sz w:val="22"/>
          <w:szCs w:val="22"/>
        </w:rPr>
        <w:instrText>3 Acquire new knowledge in screening and management guidelines for multisystemic complications of rheumatic diseases.</w:instrText>
      </w:r>
    </w:p>
    <w:p w:rsidR="004777F1">
      <w:pPr>
        <w:bidi w:val="0"/>
        <w:spacing w:after="280" w:afterAutospacing="1"/>
        <w:rPr>
          <w:rFonts w:ascii="Garamond" w:hAnsi="Garamond"/>
          <w:sz w:val="22"/>
          <w:szCs w:val="22"/>
        </w:rPr>
      </w:pPr>
      <w:r>
        <w:rPr>
          <w:rFonts w:ascii="Garamond" w:hAnsi="Garamond"/>
          <w:sz w:val="22"/>
          <w:szCs w:val="22"/>
        </w:rPr>
        <w:instrText>4 Improve patient outcomes by collaboration with other specialties for research and quality improvement activities.</w:instrText>
      </w:r>
      <w:r>
        <w:rPr>
          <w:rFonts w:ascii="Garamond" w:hAnsi="Garamond"/>
          <w:sz w:val="22"/>
          <w:szCs w:val="22"/>
        </w:rPr>
        <w:instrText>"</w:instrText>
      </w:r>
      <w:r>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Session Objectives:</w:instrText>
      </w:r>
    </w:p>
    <w:p w:rsidR="004777F1" w:rsidRPr="001A3CDA"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instrText>1 Assess strategies used to accurately diagnose pediatric conditions seen in various rheumatic diseases.</w:instrText>
      </w:r>
    </w:p>
    <w:p w:rsidP="004777F1">
      <w:pPr>
        <w:ind w:left="540" w:hanging="180"/>
        <w:rPr>
          <w:rFonts w:ascii="Garamond" w:hAnsi="Garamond"/>
          <w:sz w:val="22"/>
          <w:szCs w:val="22"/>
        </w:rPr>
      </w:pPr>
      <w:r>
        <w:rPr>
          <w:rFonts w:ascii="Garamond" w:hAnsi="Garamond"/>
          <w:sz w:val="22"/>
          <w:szCs w:val="22"/>
        </w:rPr>
        <w:instrText>2 Acquire new insights into clinical reasoning behind each diagnosis and the purpose of any needed intervention.</w:instrText>
      </w:r>
    </w:p>
    <w:p w:rsidP="004777F1">
      <w:pPr>
        <w:ind w:left="540" w:hanging="180"/>
        <w:rPr>
          <w:rFonts w:ascii="Garamond" w:hAnsi="Garamond"/>
          <w:sz w:val="22"/>
          <w:szCs w:val="22"/>
        </w:rPr>
      </w:pPr>
      <w:r>
        <w:rPr>
          <w:rFonts w:ascii="Garamond" w:hAnsi="Garamond"/>
          <w:sz w:val="22"/>
          <w:szCs w:val="22"/>
        </w:rPr>
        <w:instrText>3 Acquire new knowledge in screening and management guidelines for multisystemic complications of rheumatic diseases.</w:instrText>
      </w:r>
    </w:p>
    <w:p w:rsidP="004777F1">
      <w:pPr>
        <w:ind w:left="540" w:hanging="180"/>
        <w:rPr>
          <w:rFonts w:ascii="Garamond" w:hAnsi="Garamond"/>
          <w:sz w:val="22"/>
          <w:szCs w:val="22"/>
        </w:rPr>
      </w:pPr>
      <w:r>
        <w:rPr>
          <w:rFonts w:ascii="Garamond" w:hAnsi="Garamond"/>
          <w:sz w:val="22"/>
          <w:szCs w:val="22"/>
        </w:rPr>
        <w:instrText>4 Improve patient outcomes by collaboration with other specialties for research and quality improvement activities.</w:instrText>
      </w:r>
      <w:r>
        <w:rPr>
          <w:rFonts w:ascii="Garamond" w:hAnsi="Garamond"/>
          <w:sz w:val="22"/>
          <w:szCs w:val="22"/>
        </w:rPr>
        <w:instrText xml:space="preserve">" "" </w:instrText>
      </w:r>
      <w:r>
        <w:rPr>
          <w:rFonts w:ascii="Garamond" w:hAnsi="Garamond"/>
          <w:sz w:val="22"/>
          <w:szCs w:val="22"/>
        </w:rPr>
        <w:fldChar w:fldCharType="separate"/>
      </w:r>
    </w:p>
    <w:p w:rsidR="004777F1" w:rsidP="004777F1">
      <w:pPr>
        <w:rPr>
          <w:rFonts w:ascii="Garamond" w:hAnsi="Garamond"/>
          <w:b/>
          <w:bCs/>
        </w:rPr>
      </w:pPr>
      <w:r>
        <w:rPr>
          <w:rFonts w:ascii="Garamond" w:hAnsi="Garamond"/>
          <w:b/>
          <w:bCs/>
        </w:rPr>
        <w:t>Session Objectives:</w:t>
      </w:r>
    </w:p>
    <w:p w:rsidR="004777F1" w:rsidRPr="001A3CDA"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t>1 Assess strategies used to accurately diagnose pediatric conditions seen in various rheumatic diseases.</w:t>
      </w:r>
    </w:p>
    <w:p w:rsidP="004777F1">
      <w:pPr>
        <w:ind w:left="540" w:hanging="180"/>
        <w:rPr>
          <w:rFonts w:ascii="Garamond" w:hAnsi="Garamond"/>
          <w:sz w:val="22"/>
          <w:szCs w:val="22"/>
        </w:rPr>
      </w:pPr>
      <w:r>
        <w:rPr>
          <w:rFonts w:ascii="Garamond" w:hAnsi="Garamond"/>
          <w:sz w:val="22"/>
          <w:szCs w:val="22"/>
        </w:rPr>
        <w:t>2 Acquire new insights into clinical reasoning behind each diagnosis and the purpose of any needed intervention.</w:t>
      </w:r>
    </w:p>
    <w:p w:rsidP="004777F1">
      <w:pPr>
        <w:ind w:left="540" w:hanging="180"/>
        <w:rPr>
          <w:rFonts w:ascii="Garamond" w:hAnsi="Garamond"/>
          <w:sz w:val="22"/>
          <w:szCs w:val="22"/>
        </w:rPr>
      </w:pPr>
      <w:r>
        <w:rPr>
          <w:rFonts w:ascii="Garamond" w:hAnsi="Garamond"/>
          <w:sz w:val="22"/>
          <w:szCs w:val="22"/>
        </w:rPr>
        <w:t>3 Acquire new knowledge in screening and management guidelines for multisystemic complications of rheumatic diseases.</w:t>
      </w:r>
    </w:p>
    <w:p w:rsidR="004777F1" w:rsidP="004777F1">
      <w:pPr>
        <w:ind w:left="540" w:hanging="180"/>
        <w:rPr>
          <w:rFonts w:ascii="Garamond" w:hAnsi="Garamond"/>
          <w:sz w:val="22"/>
          <w:szCs w:val="22"/>
        </w:rPr>
      </w:pPr>
      <w:r>
        <w:rPr>
          <w:rFonts w:ascii="Garamond" w:hAnsi="Garamond"/>
          <w:sz w:val="22"/>
          <w:szCs w:val="22"/>
        </w:rPr>
        <w:t>4 Improve patient outcomes by collaboration with other specialties for research and quality improvement activities.</w:t>
      </w:r>
      <w:r>
        <w:rPr>
          <w:rFonts w:ascii="Garamond" w:hAnsi="Garamond"/>
          <w:sz w:val="22"/>
          <w:szCs w:val="22"/>
        </w:rPr>
        <w:fldChar w:fldCharType="end"/>
      </w:r>
      <w:r>
        <w:rPr>
          <w:rFonts w:ascii="Garamond" w:hAnsi="Garamond"/>
          <w:sz w:val="22"/>
          <w:szCs w:val="22"/>
        </w:rPr>
        <w:fldChar w:fldCharType="begin"/>
      </w:r>
      <w:r>
        <w:rPr>
          <w:rFonts w:ascii="Garamond" w:hAnsi="Garamond"/>
          <w:sz w:val="22"/>
          <w:szCs w:val="22"/>
        </w:rPr>
        <w:instrText xml:space="preserve"> IF </w:instrText>
      </w:r>
      <w:r>
        <w:rPr>
          <w:rFonts w:ascii="Garamond" w:hAnsi="Garamond"/>
          <w:sz w:val="22"/>
          <w:szCs w:val="22"/>
        </w:rPr>
        <w:instrText>"</w:instrText>
      </w:r>
      <w:r>
        <w:rPr>
          <w:rFonts w:ascii="Garamond" w:hAnsi="Garamond"/>
          <w:sz w:val="22"/>
          <w:szCs w:val="22"/>
        </w:rPr>
        <w:instrText>1 Review characteristics of localized scleroderma (morphea)</w:instrText>
      </w:r>
    </w:p>
    <w:p w:rsidR="004777F1" w:rsidP="004777F1">
      <w:pPr>
        <w:ind w:left="540" w:hanging="180"/>
        <w:rPr>
          <w:rFonts w:ascii="Garamond" w:hAnsi="Garamond"/>
          <w:sz w:val="22"/>
          <w:szCs w:val="22"/>
        </w:rPr>
      </w:pPr>
      <w:r>
        <w:rPr>
          <w:rFonts w:ascii="Garamond" w:hAnsi="Garamond"/>
          <w:sz w:val="22"/>
          <w:szCs w:val="22"/>
        </w:rPr>
        <w:instrText>2 Understand potential extra-cutaneous disease manifestations of localized scleroderma and modalities used to screen for these</w:instrText>
      </w:r>
    </w:p>
    <w:p w:rsidR="004777F1" w:rsidP="004777F1">
      <w:pPr>
        <w:ind w:left="540" w:hanging="180"/>
        <w:rPr>
          <w:rFonts w:ascii="Garamond" w:hAnsi="Garamond"/>
          <w:sz w:val="22"/>
          <w:szCs w:val="22"/>
        </w:rPr>
      </w:pPr>
      <w:r>
        <w:rPr>
          <w:rFonts w:ascii="Garamond" w:hAnsi="Garamond"/>
          <w:sz w:val="22"/>
          <w:szCs w:val="22"/>
        </w:rPr>
        <w:instrText>3 Review current management and therapies used to treat localized scleroderma</w:instrText>
      </w:r>
    </w:p>
    <w:p w:rsidR="004777F1" w:rsidP="004777F1">
      <w:pPr>
        <w:ind w:left="540" w:hanging="180"/>
        <w:rPr>
          <w:rFonts w:ascii="Garamond" w:hAnsi="Garamond"/>
          <w:sz w:val="22"/>
          <w:szCs w:val="22"/>
        </w:rPr>
      </w:pPr>
      <w:r>
        <w:rPr>
          <w:rFonts w:ascii="Garamond" w:hAnsi="Garamond"/>
          <w:sz w:val="22"/>
          <w:szCs w:val="22"/>
        </w:rPr>
        <w:instrText>4 Review a model of existing telehealth program (Stanford Children's as a model)</w:instrText>
      </w:r>
    </w:p>
    <w:p w:rsidR="004777F1" w:rsidP="004777F1">
      <w:pPr>
        <w:ind w:left="540" w:hanging="180"/>
        <w:rPr>
          <w:rFonts w:ascii="Garamond" w:hAnsi="Garamond"/>
          <w:sz w:val="22"/>
          <w:szCs w:val="22"/>
        </w:rPr>
      </w:pPr>
      <w:r>
        <w:rPr>
          <w:rFonts w:ascii="Garamond" w:hAnsi="Garamond"/>
          <w:sz w:val="22"/>
          <w:szCs w:val="22"/>
        </w:rPr>
        <w:instrText>5 Review current use cases of telehealth in pediatric subspecialty care within inpatient, ambulatory, and research settings</w:instrText>
      </w:r>
    </w:p>
    <w:p w:rsidR="004777F1" w:rsidP="004777F1">
      <w:pPr>
        <w:ind w:left="540" w:hanging="180"/>
        <w:rPr>
          <w:rFonts w:ascii="Garamond" w:hAnsi="Garamond"/>
          <w:sz w:val="22"/>
          <w:szCs w:val="22"/>
        </w:rPr>
      </w:pPr>
      <w:r>
        <w:rPr>
          <w:rFonts w:ascii="Garamond" w:hAnsi="Garamond"/>
          <w:sz w:val="22"/>
          <w:szCs w:val="22"/>
        </w:rPr>
        <w:instrText>6 Understand diversity, equity, and inclusion implications with telehealth</w:instrText>
      </w:r>
    </w:p>
    <w:p w:rsidR="004777F1" w:rsidP="004777F1">
      <w:pPr>
        <w:ind w:left="540" w:hanging="180"/>
        <w:rPr>
          <w:rFonts w:ascii="Garamond" w:hAnsi="Garamond"/>
          <w:sz w:val="22"/>
          <w:szCs w:val="22"/>
        </w:rPr>
      </w:pPr>
      <w:r>
        <w:rPr>
          <w:rFonts w:ascii="Garamond" w:hAnsi="Garamond"/>
          <w:sz w:val="22"/>
          <w:szCs w:val="22"/>
        </w:rPr>
        <w:instrText>7 Review gaps and opportunities in telehealth</w:instrText>
      </w:r>
    </w:p>
    <w:p w:rsidR="004777F1" w:rsidP="004777F1">
      <w:pPr>
        <w:ind w:left="540" w:hanging="180"/>
        <w:rPr>
          <w:rFonts w:ascii="Garamond" w:hAnsi="Garamond"/>
          <w:sz w:val="22"/>
          <w:szCs w:val="22"/>
        </w:rPr>
      </w:pPr>
      <w:r>
        <w:rPr>
          <w:rFonts w:ascii="Garamond" w:hAnsi="Garamond"/>
          <w:sz w:val="22"/>
          <w:szCs w:val="22"/>
        </w:rPr>
        <w:instrText>8 Review of mind-body strategies for pediatric chronic pain management</w:instrText>
      </w:r>
    </w:p>
    <w:p w:rsidR="004777F1" w:rsidP="004777F1">
      <w:pPr>
        <w:ind w:left="540" w:hanging="180"/>
        <w:rPr>
          <w:rFonts w:ascii="Garamond" w:hAnsi="Garamond"/>
          <w:sz w:val="22"/>
          <w:szCs w:val="22"/>
        </w:rPr>
      </w:pPr>
      <w:r>
        <w:rPr>
          <w:rFonts w:ascii="Garamond" w:hAnsi="Garamond"/>
          <w:sz w:val="22"/>
          <w:szCs w:val="22"/>
        </w:rPr>
        <w:instrText>9 Learn about a brief intervention program - The Comfort Ability Program (CAP) - targeting mind-body skill development for teens and their families with chronic pain</w:instrText>
      </w:r>
    </w:p>
    <w:p w:rsidR="004777F1" w:rsidP="004777F1">
      <w:pPr>
        <w:ind w:left="540" w:hanging="180"/>
        <w:rPr>
          <w:rFonts w:ascii="Garamond" w:hAnsi="Garamond"/>
          <w:sz w:val="22"/>
          <w:szCs w:val="22"/>
        </w:rPr>
      </w:pPr>
      <w:r>
        <w:rPr>
          <w:rFonts w:ascii="Garamond" w:hAnsi="Garamond"/>
          <w:sz w:val="22"/>
          <w:szCs w:val="22"/>
        </w:rPr>
        <w:instrText>10 Understand how to be an effective conduit for pediatric chronic pain mind-body resources including: how to describe mid-body skills to families and why they work and effective collaboration tips with psychosocial supports (psychology, school)</w:instrText>
      </w:r>
    </w:p>
    <w:p w:rsidR="004777F1" w:rsidP="004777F1">
      <w:pPr>
        <w:ind w:left="540" w:hanging="180"/>
        <w:rPr>
          <w:rFonts w:ascii="Garamond" w:hAnsi="Garamond"/>
          <w:sz w:val="22"/>
          <w:szCs w:val="22"/>
        </w:rPr>
      </w:pPr>
      <w:r>
        <w:rPr>
          <w:rFonts w:ascii="Garamond" w:hAnsi="Garamond"/>
          <w:sz w:val="22"/>
          <w:szCs w:val="22"/>
        </w:rPr>
        <w:instrText>11 Review the characteristic pathologic findings of Chronic Recurrent Multifocal Osteomyelitis (CRMO)</w:instrText>
      </w:r>
    </w:p>
    <w:p w:rsidR="004777F1" w:rsidP="004777F1">
      <w:pPr>
        <w:ind w:left="540" w:hanging="180"/>
        <w:rPr>
          <w:rFonts w:ascii="Garamond" w:hAnsi="Garamond"/>
          <w:sz w:val="22"/>
          <w:szCs w:val="22"/>
        </w:rPr>
      </w:pPr>
      <w:r>
        <w:rPr>
          <w:rFonts w:ascii="Garamond" w:hAnsi="Garamond"/>
          <w:sz w:val="22"/>
          <w:szCs w:val="22"/>
        </w:rPr>
        <w:instrText>12 Understand the pathologic nuances of osteitis type disease of childhood</w:instrText>
      </w:r>
    </w:p>
    <w:p w:rsidR="004777F1" w:rsidP="004777F1">
      <w:pPr>
        <w:ind w:left="540" w:hanging="180"/>
        <w:rPr>
          <w:rFonts w:ascii="Garamond" w:hAnsi="Garamond"/>
          <w:sz w:val="22"/>
          <w:szCs w:val="22"/>
        </w:rPr>
      </w:pPr>
      <w:r>
        <w:rPr>
          <w:rFonts w:ascii="Garamond" w:hAnsi="Garamond"/>
          <w:sz w:val="22"/>
          <w:szCs w:val="22"/>
        </w:rPr>
        <w:instrText>13 Review examples of dermatopathology associated with cases of chronic osteitis</w:instrText>
      </w:r>
    </w:p>
    <w:p w:rsidR="004777F1" w:rsidP="004777F1">
      <w:pPr>
        <w:ind w:left="540" w:hanging="180"/>
        <w:rPr>
          <w:rFonts w:ascii="Garamond" w:hAnsi="Garamond"/>
          <w:sz w:val="22"/>
          <w:szCs w:val="22"/>
        </w:rPr>
      </w:pPr>
      <w:r>
        <w:rPr>
          <w:rFonts w:ascii="Garamond" w:hAnsi="Garamond"/>
          <w:sz w:val="22"/>
          <w:szCs w:val="22"/>
        </w:rPr>
        <w:instrText>14 Review the differential diagnosis for acute encephalitis</w:instrText>
      </w:r>
    </w:p>
    <w:p w:rsidR="004777F1" w:rsidP="004777F1">
      <w:pPr>
        <w:ind w:left="540" w:hanging="180"/>
        <w:rPr>
          <w:rFonts w:ascii="Garamond" w:hAnsi="Garamond"/>
          <w:sz w:val="22"/>
          <w:szCs w:val="22"/>
        </w:rPr>
      </w:pPr>
      <w:r>
        <w:rPr>
          <w:rFonts w:ascii="Garamond" w:hAnsi="Garamond"/>
          <w:sz w:val="22"/>
          <w:szCs w:val="22"/>
        </w:rPr>
        <w:instrText>15 Review the work up for acute encephalitis</w:instrText>
      </w:r>
    </w:p>
    <w:p w:rsidR="004777F1" w:rsidP="004777F1">
      <w:pPr>
        <w:ind w:left="540" w:hanging="180"/>
        <w:rPr>
          <w:rFonts w:ascii="Garamond" w:hAnsi="Garamond"/>
          <w:sz w:val="22"/>
          <w:szCs w:val="22"/>
        </w:rPr>
      </w:pPr>
      <w:r>
        <w:rPr>
          <w:rFonts w:ascii="Garamond" w:hAnsi="Garamond"/>
          <w:sz w:val="22"/>
          <w:szCs w:val="22"/>
        </w:rPr>
        <w:instrText>16 Discuss the treatment for a rare presentation of encephalitis</w:instrText>
      </w:r>
      <w:r>
        <w:rPr>
          <w:rFonts w:ascii="Garamond" w:hAnsi="Garamond"/>
          <w:sz w:val="22"/>
          <w:szCs w:val="22"/>
        </w:rPr>
        <w:instrText>"</w:instrText>
      </w:r>
      <w:r>
        <w:rPr>
          <w:rFonts w:ascii="Garamond" w:hAnsi="Garamond"/>
          <w:sz w:val="22"/>
          <w:szCs w:val="22"/>
        </w:rPr>
        <w:instrText xml:space="preserve"> &lt;&gt; "" "</w:instrText>
      </w:r>
    </w:p>
    <w:p w:rsidR="004777F1" w:rsidP="004777F1">
      <w:pPr>
        <w:rPr>
          <w:rFonts w:ascii="Garamond" w:hAnsi="Garamond"/>
        </w:rPr>
      </w:pPr>
      <w:r>
        <w:rPr>
          <w:rFonts w:ascii="Garamond" w:hAnsi="Garamond"/>
          <w:b/>
          <w:bCs/>
        </w:rPr>
        <w:instrText>ANCC Learning Outcomes:</w:instrText>
      </w:r>
    </w:p>
    <w:p w:rsidR="004777F1" w:rsidRPr="00FA579F"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instrText>1 Review characteristics of localized scleroderma (morphea)</w:instrText>
      </w:r>
    </w:p>
    <w:p w:rsidP="004777F1">
      <w:pPr>
        <w:ind w:left="540" w:hanging="180"/>
        <w:rPr>
          <w:rFonts w:ascii="Garamond" w:hAnsi="Garamond"/>
          <w:sz w:val="22"/>
          <w:szCs w:val="22"/>
        </w:rPr>
      </w:pPr>
      <w:r>
        <w:rPr>
          <w:rFonts w:ascii="Garamond" w:hAnsi="Garamond"/>
          <w:sz w:val="22"/>
          <w:szCs w:val="22"/>
        </w:rPr>
        <w:instrText>2 Understand potential extra-cutaneous disease manifestations of localized scleroderma and modalities used to screen for these</w:instrText>
      </w:r>
    </w:p>
    <w:p w:rsidP="004777F1">
      <w:pPr>
        <w:ind w:left="540" w:hanging="180"/>
        <w:rPr>
          <w:rFonts w:ascii="Garamond" w:hAnsi="Garamond"/>
          <w:sz w:val="22"/>
          <w:szCs w:val="22"/>
        </w:rPr>
      </w:pPr>
      <w:r>
        <w:rPr>
          <w:rFonts w:ascii="Garamond" w:hAnsi="Garamond"/>
          <w:sz w:val="22"/>
          <w:szCs w:val="22"/>
        </w:rPr>
        <w:instrText>3 Review current management and therapies used to treat localized scleroderma</w:instrText>
      </w:r>
    </w:p>
    <w:p w:rsidP="004777F1">
      <w:pPr>
        <w:ind w:left="540" w:hanging="180"/>
        <w:rPr>
          <w:rFonts w:ascii="Garamond" w:hAnsi="Garamond"/>
          <w:sz w:val="22"/>
          <w:szCs w:val="22"/>
        </w:rPr>
      </w:pPr>
      <w:r>
        <w:rPr>
          <w:rFonts w:ascii="Garamond" w:hAnsi="Garamond"/>
          <w:sz w:val="22"/>
          <w:szCs w:val="22"/>
        </w:rPr>
        <w:instrText>4 Review a model of existing telehealth program (Stanford Children's as a model)</w:instrText>
      </w:r>
    </w:p>
    <w:p w:rsidP="004777F1">
      <w:pPr>
        <w:ind w:left="540" w:hanging="180"/>
        <w:rPr>
          <w:rFonts w:ascii="Garamond" w:hAnsi="Garamond"/>
          <w:sz w:val="22"/>
          <w:szCs w:val="22"/>
        </w:rPr>
      </w:pPr>
      <w:r>
        <w:rPr>
          <w:rFonts w:ascii="Garamond" w:hAnsi="Garamond"/>
          <w:sz w:val="22"/>
          <w:szCs w:val="22"/>
        </w:rPr>
        <w:instrText>5 Review current use cases of telehealth in pediatric subspecialty care within inpatient, ambulatory, and research settings</w:instrText>
      </w:r>
    </w:p>
    <w:p w:rsidP="004777F1">
      <w:pPr>
        <w:ind w:left="540" w:hanging="180"/>
        <w:rPr>
          <w:rFonts w:ascii="Garamond" w:hAnsi="Garamond"/>
          <w:sz w:val="22"/>
          <w:szCs w:val="22"/>
        </w:rPr>
      </w:pPr>
      <w:r>
        <w:rPr>
          <w:rFonts w:ascii="Garamond" w:hAnsi="Garamond"/>
          <w:sz w:val="22"/>
          <w:szCs w:val="22"/>
        </w:rPr>
        <w:instrText>6 Understand diversity, equity, and inclusion implications with telehealth</w:instrText>
      </w:r>
    </w:p>
    <w:p w:rsidP="004777F1">
      <w:pPr>
        <w:ind w:left="540" w:hanging="180"/>
        <w:rPr>
          <w:rFonts w:ascii="Garamond" w:hAnsi="Garamond"/>
          <w:sz w:val="22"/>
          <w:szCs w:val="22"/>
        </w:rPr>
      </w:pPr>
      <w:r>
        <w:rPr>
          <w:rFonts w:ascii="Garamond" w:hAnsi="Garamond"/>
          <w:sz w:val="22"/>
          <w:szCs w:val="22"/>
        </w:rPr>
        <w:instrText>7 Review gaps and opportunities in telehealth</w:instrText>
      </w:r>
    </w:p>
    <w:p w:rsidP="004777F1">
      <w:pPr>
        <w:ind w:left="540" w:hanging="180"/>
        <w:rPr>
          <w:rFonts w:ascii="Garamond" w:hAnsi="Garamond"/>
          <w:sz w:val="22"/>
          <w:szCs w:val="22"/>
        </w:rPr>
      </w:pPr>
      <w:r>
        <w:rPr>
          <w:rFonts w:ascii="Garamond" w:hAnsi="Garamond"/>
          <w:sz w:val="22"/>
          <w:szCs w:val="22"/>
        </w:rPr>
        <w:instrText>8 Review of mind-body strategies for pediatric chronic pain management</w:instrText>
      </w:r>
    </w:p>
    <w:p w:rsidP="004777F1">
      <w:pPr>
        <w:ind w:left="540" w:hanging="180"/>
        <w:rPr>
          <w:rFonts w:ascii="Garamond" w:hAnsi="Garamond"/>
          <w:sz w:val="22"/>
          <w:szCs w:val="22"/>
        </w:rPr>
      </w:pPr>
      <w:r>
        <w:rPr>
          <w:rFonts w:ascii="Garamond" w:hAnsi="Garamond"/>
          <w:sz w:val="22"/>
          <w:szCs w:val="22"/>
        </w:rPr>
        <w:instrText>9 Learn about a brief intervention program - The Comfort Ability Program (CAP) - targeting mind-body skill development for teens and their families with chronic pain</w:instrText>
      </w:r>
    </w:p>
    <w:p w:rsidP="004777F1">
      <w:pPr>
        <w:ind w:left="540" w:hanging="180"/>
        <w:rPr>
          <w:rFonts w:ascii="Garamond" w:hAnsi="Garamond"/>
          <w:sz w:val="22"/>
          <w:szCs w:val="22"/>
        </w:rPr>
      </w:pPr>
      <w:r>
        <w:rPr>
          <w:rFonts w:ascii="Garamond" w:hAnsi="Garamond"/>
          <w:sz w:val="22"/>
          <w:szCs w:val="22"/>
        </w:rPr>
        <w:instrText>10 Understand how to be an effective conduit for pediatric chronic pain mind-body resources including: how to describe mid-body skills to families and why they work and effective collaboration tips with psychosocial supports (psychology, school)</w:instrText>
      </w:r>
    </w:p>
    <w:p w:rsidP="004777F1">
      <w:pPr>
        <w:ind w:left="540" w:hanging="180"/>
        <w:rPr>
          <w:rFonts w:ascii="Garamond" w:hAnsi="Garamond"/>
          <w:sz w:val="22"/>
          <w:szCs w:val="22"/>
        </w:rPr>
      </w:pPr>
      <w:r>
        <w:rPr>
          <w:rFonts w:ascii="Garamond" w:hAnsi="Garamond"/>
          <w:sz w:val="22"/>
          <w:szCs w:val="22"/>
        </w:rPr>
        <w:instrText>11 Review the characteristic pathologic findings of Chronic Recurrent Multifocal Osteomyelitis (CRMO)</w:instrText>
      </w:r>
    </w:p>
    <w:p w:rsidP="004777F1">
      <w:pPr>
        <w:ind w:left="540" w:hanging="180"/>
        <w:rPr>
          <w:rFonts w:ascii="Garamond" w:hAnsi="Garamond"/>
          <w:sz w:val="22"/>
          <w:szCs w:val="22"/>
        </w:rPr>
      </w:pPr>
      <w:r>
        <w:rPr>
          <w:rFonts w:ascii="Garamond" w:hAnsi="Garamond"/>
          <w:sz w:val="22"/>
          <w:szCs w:val="22"/>
        </w:rPr>
        <w:instrText>12 Understand the pathologic nuances of osteitis type disease of childhood</w:instrText>
      </w:r>
    </w:p>
    <w:p w:rsidP="004777F1">
      <w:pPr>
        <w:ind w:left="540" w:hanging="180"/>
        <w:rPr>
          <w:rFonts w:ascii="Garamond" w:hAnsi="Garamond"/>
          <w:sz w:val="22"/>
          <w:szCs w:val="22"/>
        </w:rPr>
      </w:pPr>
      <w:r>
        <w:rPr>
          <w:rFonts w:ascii="Garamond" w:hAnsi="Garamond"/>
          <w:sz w:val="22"/>
          <w:szCs w:val="22"/>
        </w:rPr>
        <w:instrText>13 Review examples of dermatopathology associated with cases of chronic osteitis</w:instrText>
      </w:r>
    </w:p>
    <w:p w:rsidP="004777F1">
      <w:pPr>
        <w:ind w:left="540" w:hanging="180"/>
        <w:rPr>
          <w:rFonts w:ascii="Garamond" w:hAnsi="Garamond"/>
          <w:sz w:val="22"/>
          <w:szCs w:val="22"/>
        </w:rPr>
      </w:pPr>
      <w:r>
        <w:rPr>
          <w:rFonts w:ascii="Garamond" w:hAnsi="Garamond"/>
          <w:sz w:val="22"/>
          <w:szCs w:val="22"/>
        </w:rPr>
        <w:instrText>14 Review the differential diagnosis for acute encephalitis</w:instrText>
      </w:r>
    </w:p>
    <w:p w:rsidP="004777F1">
      <w:pPr>
        <w:ind w:left="540" w:hanging="180"/>
        <w:rPr>
          <w:rFonts w:ascii="Garamond" w:hAnsi="Garamond"/>
          <w:sz w:val="22"/>
          <w:szCs w:val="22"/>
        </w:rPr>
      </w:pPr>
      <w:r>
        <w:rPr>
          <w:rFonts w:ascii="Garamond" w:hAnsi="Garamond"/>
          <w:sz w:val="22"/>
          <w:szCs w:val="22"/>
        </w:rPr>
        <w:instrText>15 Review the work up for acute encephalitis</w:instrText>
      </w:r>
    </w:p>
    <w:p w:rsidP="004777F1">
      <w:pPr>
        <w:ind w:left="540" w:hanging="180"/>
        <w:rPr>
          <w:rFonts w:ascii="Garamond" w:hAnsi="Garamond"/>
          <w:sz w:val="22"/>
          <w:szCs w:val="22"/>
        </w:rPr>
      </w:pPr>
      <w:r>
        <w:rPr>
          <w:rFonts w:ascii="Garamond" w:hAnsi="Garamond"/>
          <w:sz w:val="22"/>
          <w:szCs w:val="22"/>
        </w:rPr>
        <w:instrText>16 Discuss the treatment for a rare presentation of encephalitis</w:instrText>
      </w:r>
      <w:r>
        <w:rPr>
          <w:rFonts w:ascii="Garamond" w:hAnsi="Garamond"/>
          <w:sz w:val="22"/>
          <w:szCs w:val="22"/>
        </w:rPr>
        <w:instrText xml:space="preserve">" "" </w:instrText>
      </w:r>
      <w:r>
        <w:rPr>
          <w:rFonts w:ascii="Garamond" w:hAnsi="Garamond"/>
          <w:sz w:val="22"/>
          <w:szCs w:val="22"/>
        </w:rPr>
        <w:fldChar w:fldCharType="separate"/>
      </w:r>
    </w:p>
    <w:p w:rsidR="004777F1" w:rsidP="004777F1">
      <w:pPr>
        <w:rPr>
          <w:rFonts w:ascii="Garamond" w:hAnsi="Garamond"/>
        </w:rPr>
      </w:pPr>
      <w:r>
        <w:rPr>
          <w:rFonts w:ascii="Garamond" w:hAnsi="Garamond"/>
          <w:b/>
          <w:bCs/>
        </w:rPr>
        <w:t>ANCC Learning Outcomes:</w:t>
      </w:r>
    </w:p>
    <w:p w:rsidR="004777F1" w:rsidRPr="00FA579F"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t>1 Review characteristics of localized scleroderma (morphea)</w:t>
      </w:r>
    </w:p>
    <w:p w:rsidP="004777F1">
      <w:pPr>
        <w:ind w:left="540" w:hanging="180"/>
        <w:rPr>
          <w:rFonts w:ascii="Garamond" w:hAnsi="Garamond"/>
          <w:sz w:val="22"/>
          <w:szCs w:val="22"/>
        </w:rPr>
      </w:pPr>
      <w:r>
        <w:rPr>
          <w:rFonts w:ascii="Garamond" w:hAnsi="Garamond"/>
          <w:sz w:val="22"/>
          <w:szCs w:val="22"/>
        </w:rPr>
        <w:t>2 Understand potential extra-cutaneous disease manifestations of localized scleroderma and modalities used to screen for these</w:t>
      </w:r>
    </w:p>
    <w:p w:rsidP="004777F1">
      <w:pPr>
        <w:ind w:left="540" w:hanging="180"/>
        <w:rPr>
          <w:rFonts w:ascii="Garamond" w:hAnsi="Garamond"/>
          <w:sz w:val="22"/>
          <w:szCs w:val="22"/>
        </w:rPr>
      </w:pPr>
      <w:r>
        <w:rPr>
          <w:rFonts w:ascii="Garamond" w:hAnsi="Garamond"/>
          <w:sz w:val="22"/>
          <w:szCs w:val="22"/>
        </w:rPr>
        <w:t>3 Review current management and therapies used to treat localized scleroderma</w:t>
      </w:r>
    </w:p>
    <w:p w:rsidP="004777F1">
      <w:pPr>
        <w:ind w:left="540" w:hanging="180"/>
        <w:rPr>
          <w:rFonts w:ascii="Garamond" w:hAnsi="Garamond"/>
          <w:sz w:val="22"/>
          <w:szCs w:val="22"/>
        </w:rPr>
      </w:pPr>
      <w:r>
        <w:rPr>
          <w:rFonts w:ascii="Garamond" w:hAnsi="Garamond"/>
          <w:sz w:val="22"/>
          <w:szCs w:val="22"/>
        </w:rPr>
        <w:t>4 Review a model of existing telehealth program (Stanford Children's as a model)</w:t>
      </w:r>
    </w:p>
    <w:p w:rsidP="004777F1">
      <w:pPr>
        <w:ind w:left="540" w:hanging="180"/>
        <w:rPr>
          <w:rFonts w:ascii="Garamond" w:hAnsi="Garamond"/>
          <w:sz w:val="22"/>
          <w:szCs w:val="22"/>
        </w:rPr>
      </w:pPr>
      <w:r>
        <w:rPr>
          <w:rFonts w:ascii="Garamond" w:hAnsi="Garamond"/>
          <w:sz w:val="22"/>
          <w:szCs w:val="22"/>
        </w:rPr>
        <w:t>5 Review current use cases of telehealth in pediatric subspecialty care within inpatient, ambulatory, and research settings</w:t>
      </w:r>
    </w:p>
    <w:p w:rsidP="004777F1">
      <w:pPr>
        <w:ind w:left="540" w:hanging="180"/>
        <w:rPr>
          <w:rFonts w:ascii="Garamond" w:hAnsi="Garamond"/>
          <w:sz w:val="22"/>
          <w:szCs w:val="22"/>
        </w:rPr>
      </w:pPr>
      <w:r>
        <w:rPr>
          <w:rFonts w:ascii="Garamond" w:hAnsi="Garamond"/>
          <w:sz w:val="22"/>
          <w:szCs w:val="22"/>
        </w:rPr>
        <w:t>6 Understand diversity, equity, and inclusion implications with telehealth</w:t>
      </w:r>
    </w:p>
    <w:p w:rsidP="004777F1">
      <w:pPr>
        <w:ind w:left="540" w:hanging="180"/>
        <w:rPr>
          <w:rFonts w:ascii="Garamond" w:hAnsi="Garamond"/>
          <w:sz w:val="22"/>
          <w:szCs w:val="22"/>
        </w:rPr>
      </w:pPr>
      <w:r>
        <w:rPr>
          <w:rFonts w:ascii="Garamond" w:hAnsi="Garamond"/>
          <w:sz w:val="22"/>
          <w:szCs w:val="22"/>
        </w:rPr>
        <w:t>7 Review gaps and opportunities in telehealth</w:t>
      </w:r>
    </w:p>
    <w:p w:rsidP="004777F1">
      <w:pPr>
        <w:ind w:left="540" w:hanging="180"/>
        <w:rPr>
          <w:rFonts w:ascii="Garamond" w:hAnsi="Garamond"/>
          <w:sz w:val="22"/>
          <w:szCs w:val="22"/>
        </w:rPr>
      </w:pPr>
      <w:r>
        <w:rPr>
          <w:rFonts w:ascii="Garamond" w:hAnsi="Garamond"/>
          <w:sz w:val="22"/>
          <w:szCs w:val="22"/>
        </w:rPr>
        <w:t>8 Review of mind-body strategies for pediatric chronic pain management</w:t>
      </w:r>
    </w:p>
    <w:p w:rsidP="004777F1">
      <w:pPr>
        <w:ind w:left="540" w:hanging="180"/>
        <w:rPr>
          <w:rFonts w:ascii="Garamond" w:hAnsi="Garamond"/>
          <w:sz w:val="22"/>
          <w:szCs w:val="22"/>
        </w:rPr>
      </w:pPr>
      <w:r>
        <w:rPr>
          <w:rFonts w:ascii="Garamond" w:hAnsi="Garamond"/>
          <w:sz w:val="22"/>
          <w:szCs w:val="22"/>
        </w:rPr>
        <w:t>9 Learn about a brief intervention program - The Comfort Ability Program (CAP) - targeting mind-body skill development for teens and their families with chronic pain</w:t>
      </w:r>
    </w:p>
    <w:p w:rsidP="004777F1">
      <w:pPr>
        <w:ind w:left="540" w:hanging="180"/>
        <w:rPr>
          <w:rFonts w:ascii="Garamond" w:hAnsi="Garamond"/>
          <w:sz w:val="22"/>
          <w:szCs w:val="22"/>
        </w:rPr>
      </w:pPr>
      <w:r>
        <w:rPr>
          <w:rFonts w:ascii="Garamond" w:hAnsi="Garamond"/>
          <w:sz w:val="22"/>
          <w:szCs w:val="22"/>
        </w:rPr>
        <w:t>10 Understand how to be an effective conduit for pediatric chronic pain mind-body resources including: how to describe mid-body skills to families and why they work and effective collaboration tips with psychosocial supports (psychology, school)</w:t>
      </w:r>
    </w:p>
    <w:p w:rsidP="004777F1">
      <w:pPr>
        <w:ind w:left="540" w:hanging="180"/>
        <w:rPr>
          <w:rFonts w:ascii="Garamond" w:hAnsi="Garamond"/>
          <w:sz w:val="22"/>
          <w:szCs w:val="22"/>
        </w:rPr>
      </w:pPr>
      <w:r>
        <w:rPr>
          <w:rFonts w:ascii="Garamond" w:hAnsi="Garamond"/>
          <w:sz w:val="22"/>
          <w:szCs w:val="22"/>
        </w:rPr>
        <w:t>11 Review the characteristic pathologic findings of Chronic Recurrent Multifocal Osteomyelitis (CRMO)</w:t>
      </w:r>
    </w:p>
    <w:p w:rsidP="004777F1">
      <w:pPr>
        <w:ind w:left="540" w:hanging="180"/>
        <w:rPr>
          <w:rFonts w:ascii="Garamond" w:hAnsi="Garamond"/>
          <w:sz w:val="22"/>
          <w:szCs w:val="22"/>
        </w:rPr>
      </w:pPr>
      <w:r>
        <w:rPr>
          <w:rFonts w:ascii="Garamond" w:hAnsi="Garamond"/>
          <w:sz w:val="22"/>
          <w:szCs w:val="22"/>
        </w:rPr>
        <w:t>12 Understand the pathologic nuances of osteitis type disease of childhood</w:t>
      </w:r>
    </w:p>
    <w:p w:rsidP="004777F1">
      <w:pPr>
        <w:ind w:left="540" w:hanging="180"/>
        <w:rPr>
          <w:rFonts w:ascii="Garamond" w:hAnsi="Garamond"/>
          <w:sz w:val="22"/>
          <w:szCs w:val="22"/>
        </w:rPr>
      </w:pPr>
      <w:r>
        <w:rPr>
          <w:rFonts w:ascii="Garamond" w:hAnsi="Garamond"/>
          <w:sz w:val="22"/>
          <w:szCs w:val="22"/>
        </w:rPr>
        <w:t>13 Review examples of dermatopathology associated with cases of chronic osteitis</w:t>
      </w:r>
    </w:p>
    <w:p w:rsidP="004777F1">
      <w:pPr>
        <w:ind w:left="540" w:hanging="180"/>
        <w:rPr>
          <w:rFonts w:ascii="Garamond" w:hAnsi="Garamond"/>
          <w:sz w:val="22"/>
          <w:szCs w:val="22"/>
        </w:rPr>
      </w:pPr>
      <w:r>
        <w:rPr>
          <w:rFonts w:ascii="Garamond" w:hAnsi="Garamond"/>
          <w:sz w:val="22"/>
          <w:szCs w:val="22"/>
        </w:rPr>
        <w:t>14 Review the differential diagnosis for acute encephalitis</w:t>
      </w:r>
    </w:p>
    <w:p w:rsidP="004777F1">
      <w:pPr>
        <w:ind w:left="540" w:hanging="180"/>
        <w:rPr>
          <w:rFonts w:ascii="Garamond" w:hAnsi="Garamond"/>
          <w:sz w:val="22"/>
          <w:szCs w:val="22"/>
        </w:rPr>
      </w:pPr>
      <w:r>
        <w:rPr>
          <w:rFonts w:ascii="Garamond" w:hAnsi="Garamond"/>
          <w:sz w:val="22"/>
          <w:szCs w:val="22"/>
        </w:rPr>
        <w:t>15 Review the work up for acute encephalitis</w:t>
      </w:r>
    </w:p>
    <w:p w:rsidR="004777F1" w:rsidP="004777F1">
      <w:pPr>
        <w:ind w:left="540" w:hanging="180"/>
        <w:rPr>
          <w:rFonts w:ascii="Garamond" w:hAnsi="Garamond"/>
          <w:sz w:val="22"/>
          <w:szCs w:val="22"/>
        </w:rPr>
      </w:pPr>
      <w:r>
        <w:rPr>
          <w:rFonts w:ascii="Garamond" w:hAnsi="Garamond"/>
          <w:sz w:val="22"/>
          <w:szCs w:val="22"/>
        </w:rPr>
        <w:t>16 Discuss the treatment for a rare presentation of encephalitis</w:t>
      </w:r>
      <w:r>
        <w:rPr>
          <w:rFonts w:ascii="Garamond" w:hAnsi="Garamond"/>
          <w:sz w:val="22"/>
          <w:szCs w:val="22"/>
        </w:rPr>
        <w:fldChar w:fldCharType="end"/>
      </w:r>
      <w:r>
        <w:rPr>
          <w:rFonts w:ascii="Garamond" w:hAnsi="Garamond"/>
          <w:sz w:val="22"/>
          <w:szCs w:val="22"/>
        </w:rPr>
        <w:fldChar w:fldCharType="begin"/>
      </w:r>
      <w:r>
        <w:rPr>
          <w:rFonts w:ascii="Garamond" w:hAnsi="Garamond"/>
          <w:sz w:val="22"/>
          <w:szCs w:val="22"/>
        </w:rPr>
        <w:instrText xml:space="preserve"> IF </w:instrText>
      </w:r>
      <w:r>
        <w:rPr>
          <w:rFonts w:ascii="Garamond" w:hAnsi="Garamond"/>
          <w:sz w:val="22"/>
          <w:szCs w:val="22"/>
        </w:rPr>
        <w:instrText>"</w:instrText>
      </w:r>
      <w:r>
        <w:rPr>
          <w:rFonts w:ascii="Garamond" w:hAnsi="Garamond"/>
          <w:sz w:val="22"/>
          <w:szCs w:val="22"/>
        </w:rPr>
        <w:instrText>"</w:instrText>
      </w:r>
      <w:r>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Pharmacist Objectives:</w:instrText>
      </w:r>
    </w:p>
    <w:p w:rsidR="004777F1" w:rsidRPr="00FA579F"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PharmObjectives </w:instrText>
      </w:r>
      <w:r>
        <w:rPr>
          <w:rFonts w:ascii="Garamond" w:hAnsi="Garamond"/>
          <w:sz w:val="22"/>
          <w:szCs w:val="22"/>
        </w:rPr>
        <w:fldChar w:fldCharType="separate"/>
      </w:r>
      <w:r>
        <w:rPr>
          <w:rFonts w:ascii="Garamond" w:hAnsi="Garamond"/>
          <w:noProof/>
          <w:sz w:val="22"/>
          <w:szCs w:val="22"/>
        </w:rPr>
        <w:instrText>«PharmObjectives»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r w:rsidR="004777F1">
        <w:rPr>
          <w:rFonts w:ascii="Garamond" w:hAnsi="Garamond"/>
          <w:sz w:val="22"/>
          <w:szCs w:val="22"/>
        </w:rPr>
        <w:fldChar w:fldCharType="begin"/>
      </w:r>
      <w:r w:rsidR="004777F1">
        <w:rPr>
          <w:rFonts w:ascii="Garamond" w:hAnsi="Garamond"/>
          <w:sz w:val="22"/>
          <w:szCs w:val="22"/>
        </w:rPr>
        <w:instrText xml:space="preserve"> IF </w:instrText>
      </w:r>
      <w:r w:rsidR="004777F1">
        <w:rPr>
          <w:rFonts w:ascii="Garamond" w:hAnsi="Garamond"/>
          <w:sz w:val="22"/>
          <w:szCs w:val="22"/>
        </w:rPr>
        <w:instrText>"</w:instrText>
      </w:r>
      <w:r w:rsidR="004777F1">
        <w:rPr>
          <w:rFonts w:ascii="Garamond" w:hAnsi="Garamond"/>
          <w:sz w:val="22"/>
          <w:szCs w:val="22"/>
        </w:rPr>
        <w:instrText>"</w:instrText>
      </w:r>
      <w:r w:rsidR="004777F1">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Pharmacy Technician Objectives:</w:instrText>
      </w:r>
    </w:p>
    <w:p w:rsidR="004777F1"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PharmTechObjectives </w:instrText>
      </w:r>
      <w:r>
        <w:rPr>
          <w:rFonts w:ascii="Garamond" w:hAnsi="Garamond"/>
          <w:sz w:val="22"/>
          <w:szCs w:val="22"/>
        </w:rPr>
        <w:fldChar w:fldCharType="separate"/>
      </w:r>
      <w:r>
        <w:rPr>
          <w:rFonts w:ascii="Garamond" w:hAnsi="Garamond"/>
          <w:noProof/>
          <w:sz w:val="22"/>
          <w:szCs w:val="22"/>
        </w:rPr>
        <w:instrText>«PharmTechObjectives»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p>
    <w:p w:rsidR="00AE4284" w:rsidP="00B20291">
      <w:pPr>
        <w:rPr>
          <w:rFonts w:ascii="Garamond" w:hAnsi="Garamond"/>
          <w:b/>
        </w:rPr>
      </w:pPr>
      <w:r>
        <w:rPr>
          <w:noProof/>
          <w:sz w:val="20"/>
          <w:szCs w:val="20"/>
        </w:rPr>
        <w:drawing>
          <wp:anchor distT="0" distB="0" distL="114300" distR="114300" simplePos="0" relativeHeight="251666432" behindDoc="0" locked="0" layoutInCell="1" allowOverlap="1">
            <wp:simplePos x="0" y="0"/>
            <wp:positionH relativeFrom="column">
              <wp:posOffset>0</wp:posOffset>
            </wp:positionH>
            <wp:positionV relativeFrom="paragraph">
              <wp:posOffset>168275</wp:posOffset>
            </wp:positionV>
            <wp:extent cx="1232535" cy="846455"/>
            <wp:effectExtent l="0" t="0" r="0" b="0"/>
            <wp:wrapSquare wrapText="bothSides"/>
            <wp:docPr id="5" name="Picture 5"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with medium confidence"/>
                    <pic:cNvPicPr/>
                  </pic:nvPicPr>
                  <pic:blipFill>
                    <a:blip xmlns:r="http://schemas.openxmlformats.org/officeDocument/2006/relationships" r:embed="rId7"/>
                    <a:stretch>
                      <a:fillRect/>
                    </a:stretch>
                  </pic:blipFill>
                  <pic:spPr>
                    <a:xfrm>
                      <a:off x="0" y="0"/>
                      <a:ext cx="1232535" cy="846455"/>
                    </a:xfrm>
                    <a:prstGeom prst="rect">
                      <a:avLst/>
                    </a:prstGeom>
                  </pic:spPr>
                </pic:pic>
              </a:graphicData>
            </a:graphic>
          </wp:anchor>
        </w:drawing>
      </w:r>
    </w:p>
    <w:p w:rsidR="00443EE9" w:rsidP="00EA24D0">
      <w:pPr>
        <w:rPr>
          <w:rFonts w:ascii="Cambria" w:hAnsi="Cambria"/>
          <w:sz w:val="20"/>
          <w:szCs w:val="20"/>
        </w:rPr>
      </w:pPr>
      <w:r>
        <w:rPr>
          <w:sz w:val="20"/>
          <w:szCs w:val="20"/>
        </w:rPr>
        <w:t xml:space="preserve">In support of improving patient care, Nationwide Children’s hospital is jointly accredited by the American Nurses Credentialing Center (ANCC), the Accreditation Council for Pharmacy Education (ACPE), and the Accreditation Council for Continuing Medical Education (ACCME) to provide continuing medical education for the healthcare team. </w:t>
      </w:r>
      <w:r>
        <w:rPr>
          <w:sz w:val="20"/>
          <w:szCs w:val="20"/>
        </w:rPr>
        <w:fldChar w:fldCharType="begin"/>
      </w:r>
      <w:r>
        <w:rPr>
          <w:sz w:val="20"/>
          <w:szCs w:val="20"/>
        </w:rPr>
        <w:instrText xml:space="preserve"> IF </w:instrText>
      </w:r>
      <w:r>
        <w:rPr>
          <w:sz w:val="20"/>
          <w:szCs w:val="20"/>
        </w:rPr>
        <w:instrText>3.00</w:instrText>
      </w:r>
      <w:r>
        <w:rPr>
          <w:sz w:val="20"/>
          <w:szCs w:val="20"/>
        </w:rPr>
        <w:instrText xml:space="preserve"> &gt; 0 "(</w:instrText>
      </w:r>
      <w:r>
        <w:rPr>
          <w:sz w:val="20"/>
          <w:szCs w:val="20"/>
        </w:rPr>
        <w:instrText>3.00</w:instrText>
      </w:r>
      <w:r>
        <w:rPr>
          <w:sz w:val="20"/>
          <w:szCs w:val="20"/>
        </w:rPr>
        <w:instrText xml:space="preserve"> ANCC contact hour(s)) " "" </w:instrText>
      </w:r>
      <w:r>
        <w:rPr>
          <w:sz w:val="20"/>
          <w:szCs w:val="20"/>
        </w:rPr>
        <w:fldChar w:fldCharType="separate"/>
      </w:r>
      <w:r>
        <w:rPr>
          <w:sz w:val="20"/>
          <w:szCs w:val="20"/>
        </w:rPr>
        <w:t>(</w:t>
      </w:r>
      <w:r>
        <w:rPr>
          <w:sz w:val="20"/>
          <w:szCs w:val="20"/>
        </w:rPr>
        <w:t>3.00</w:t>
      </w:r>
      <w:r>
        <w:rPr>
          <w:sz w:val="20"/>
          <w:szCs w:val="20"/>
        </w:rPr>
        <w:t xml:space="preserve"> ANCC contact hour(s)) </w:t>
      </w:r>
      <w:r>
        <w:rPr>
          <w:sz w:val="20"/>
          <w:szCs w:val="20"/>
        </w:rPr>
        <w:fldChar w:fldCharType="end"/>
      </w:r>
      <w:r>
        <w:rPr>
          <w:sz w:val="20"/>
          <w:szCs w:val="20"/>
        </w:rPr>
        <w:fldChar w:fldCharType="begin"/>
      </w:r>
      <w:r>
        <w:rPr>
          <w:sz w:val="20"/>
          <w:szCs w:val="20"/>
        </w:rPr>
        <w:instrText xml:space="preserve"> IF </w:instrText>
      </w:r>
      <w:r>
        <w:rPr>
          <w:sz w:val="20"/>
          <w:szCs w:val="20"/>
        </w:rPr>
        <w:instrText>0.00</w:instrText>
      </w:r>
      <w:r>
        <w:rPr>
          <w:sz w:val="20"/>
          <w:szCs w:val="20"/>
        </w:rPr>
        <w:instrText xml:space="preserve"> &gt; 0 "(</w:instrText>
      </w:r>
      <w:r>
        <w:rPr>
          <w:sz w:val="20"/>
          <w:szCs w:val="20"/>
        </w:rPr>
        <w:fldChar w:fldCharType="begin"/>
      </w:r>
      <w:r>
        <w:rPr>
          <w:sz w:val="20"/>
          <w:szCs w:val="20"/>
        </w:rPr>
        <w:instrText xml:space="preserve"> MERGEFIELD ACPEHoursMax \# 0.00# </w:instrText>
      </w:r>
      <w:r>
        <w:rPr>
          <w:sz w:val="20"/>
          <w:szCs w:val="20"/>
        </w:rPr>
        <w:fldChar w:fldCharType="separate"/>
      </w:r>
      <w:r>
        <w:rPr>
          <w:sz w:val="20"/>
          <w:szCs w:val="20"/>
        </w:rPr>
        <w:fldChar w:fldCharType="end"/>
      </w:r>
      <w:r>
        <w:rPr>
          <w:sz w:val="20"/>
          <w:szCs w:val="20"/>
        </w:rPr>
        <w:instrText xml:space="preserve"> ACPE contact hour(s)) "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instrText>3.00</w:instrText>
      </w:r>
      <w:r>
        <w:rPr>
          <w:sz w:val="20"/>
          <w:szCs w:val="20"/>
        </w:rPr>
        <w:instrText xml:space="preserve"> &gt; 0 "(</w:instrText>
      </w:r>
      <w:r>
        <w:rPr>
          <w:sz w:val="20"/>
          <w:szCs w:val="20"/>
        </w:rPr>
        <w:instrText>3.00</w:instrText>
      </w:r>
      <w:r>
        <w:rPr>
          <w:sz w:val="20"/>
          <w:szCs w:val="20"/>
        </w:rPr>
        <w:instrText xml:space="preserve"> </w:instrText>
      </w:r>
      <w:r>
        <w:rPr>
          <w:i/>
          <w:iCs/>
          <w:sz w:val="20"/>
          <w:szCs w:val="20"/>
        </w:rPr>
        <w:instrText>AMA PRA Category 1 CME Credit(s)</w:instrText>
      </w:r>
      <w:r>
        <w:rPr>
          <w:rFonts w:ascii="Cambria" w:hAnsi="Cambria"/>
          <w:sz w:val="20"/>
          <w:szCs w:val="20"/>
        </w:rPr>
        <w:instrText>™)</w:instrText>
      </w:r>
    </w:p>
    <w:p w:rsidR="00443EE9" w:rsidP="00EA24D0">
      <w:pPr>
        <w:rPr>
          <w:rFonts w:ascii="Cambria" w:hAnsi="Cambria"/>
          <w:sz w:val="20"/>
          <w:szCs w:val="20"/>
        </w:rPr>
      </w:pPr>
    </w:p>
    <w:p w:rsidR="00443EE9" w:rsidRPr="00443EE9" w:rsidP="00443EE9">
      <w:pPr>
        <w:rPr>
          <w:sz w:val="20"/>
          <w:szCs w:val="20"/>
        </w:rPr>
      </w:pPr>
      <w:r w:rsidRPr="00443EE9">
        <w:rPr>
          <w:sz w:val="20"/>
          <w:szCs w:val="20"/>
        </w:rPr>
        <w:instrText xml:space="preserve">The Nationwide Children's Hospital designates this </w:instrText>
      </w:r>
      <w:r>
        <w:rPr>
          <w:sz w:val="20"/>
          <w:szCs w:val="20"/>
        </w:rPr>
        <w:fldChar w:fldCharType="begin"/>
      </w:r>
      <w:r>
        <w:rPr>
          <w:sz w:val="20"/>
          <w:szCs w:val="20"/>
        </w:rPr>
        <w:instrText xml:space="preserve"> IF </w:instrText>
      </w:r>
      <w:r>
        <w:rPr>
          <w:sz w:val="20"/>
          <w:szCs w:val="20"/>
        </w:rPr>
        <w:instrText>"</w:instrText>
      </w:r>
      <w:r>
        <w:rPr>
          <w:sz w:val="20"/>
          <w:szCs w:val="20"/>
        </w:rPr>
        <w:instrText>Live Activity</w:instrText>
      </w:r>
      <w:r>
        <w:rPr>
          <w:sz w:val="20"/>
          <w:szCs w:val="20"/>
        </w:rPr>
        <w:instrText>"</w:instrText>
      </w:r>
      <w:r>
        <w:rPr>
          <w:sz w:val="20"/>
          <w:szCs w:val="20"/>
        </w:rPr>
        <w:instrText xml:space="preserve"> &lt;&gt; "" "</w:instrText>
      </w:r>
      <w:r>
        <w:rPr>
          <w:sz w:val="20"/>
          <w:szCs w:val="20"/>
        </w:rPr>
        <w:instrText>live activity</w:instrText>
      </w:r>
      <w:r>
        <w:rPr>
          <w:sz w:val="20"/>
          <w:szCs w:val="20"/>
        </w:rPr>
        <w:instrText xml:space="preserve">" "activity" </w:instrText>
      </w:r>
      <w:r>
        <w:rPr>
          <w:sz w:val="20"/>
          <w:szCs w:val="20"/>
        </w:rPr>
        <w:fldChar w:fldCharType="separate"/>
      </w:r>
      <w:r>
        <w:rPr>
          <w:sz w:val="20"/>
          <w:szCs w:val="20"/>
        </w:rPr>
        <w:instrText>live activity</w:instrText>
      </w:r>
      <w:r>
        <w:rPr>
          <w:sz w:val="20"/>
          <w:szCs w:val="20"/>
        </w:rPr>
        <w:fldChar w:fldCharType="end"/>
      </w:r>
      <w:r>
        <w:rPr>
          <w:sz w:val="20"/>
          <w:szCs w:val="20"/>
        </w:rPr>
        <w:instrText xml:space="preserve"> </w:instrText>
      </w:r>
      <w:r w:rsidRPr="00443EE9">
        <w:rPr>
          <w:sz w:val="20"/>
          <w:szCs w:val="20"/>
        </w:rPr>
        <w:instrText xml:space="preserve">for a maximum of </w:instrText>
      </w:r>
      <w:r>
        <w:rPr>
          <w:sz w:val="20"/>
          <w:szCs w:val="20"/>
        </w:rPr>
        <w:instrText>3.00</w:instrText>
      </w:r>
      <w:r w:rsidRPr="00443EE9">
        <w:rPr>
          <w:sz w:val="20"/>
          <w:szCs w:val="20"/>
        </w:rPr>
        <w:instrText xml:space="preserve"> </w:instrText>
      </w:r>
      <w:r w:rsidRPr="00443EE9">
        <w:rPr>
          <w:i/>
          <w:iCs/>
          <w:sz w:val="20"/>
          <w:szCs w:val="20"/>
        </w:rPr>
        <w:instrText>AMA PRA Category 1 Credit(s)</w:instrText>
      </w:r>
      <w:r w:rsidRPr="00443EE9">
        <w:rPr>
          <w:sz w:val="20"/>
          <w:szCs w:val="20"/>
          <w:vertAlign w:val="superscript"/>
        </w:rPr>
        <w:instrText>TM</w:instrText>
      </w:r>
      <w:r w:rsidRPr="00443EE9">
        <w:rPr>
          <w:sz w:val="20"/>
          <w:szCs w:val="20"/>
        </w:rPr>
        <w:instrText>.</w:instrText>
      </w:r>
      <w:r>
        <w:rPr>
          <w:sz w:val="20"/>
          <w:szCs w:val="20"/>
        </w:rPr>
        <w:instrText xml:space="preserve"> </w:instrText>
      </w:r>
      <w:r w:rsidRPr="00443EE9">
        <w:rPr>
          <w:sz w:val="20"/>
          <w:szCs w:val="20"/>
        </w:rPr>
        <w:instrText>Physicians should claim only the credit commensurate with the extent of their participation in the activity.</w:instrText>
      </w:r>
    </w:p>
    <w:p w:rsidR="00EA24D0" w:rsidRPr="00207F0D" w:rsidP="00EA24D0">
      <w:pPr>
        <w:rPr>
          <w:noProof/>
          <w:sz w:val="20"/>
        </w:rPr>
      </w:pPr>
      <w:r>
        <w:rPr>
          <w:sz w:val="20"/>
          <w:szCs w:val="20"/>
        </w:rPr>
        <w:instrText xml:space="preserve">" "" </w:instrText>
      </w:r>
      <w:r>
        <w:rPr>
          <w:sz w:val="20"/>
          <w:szCs w:val="20"/>
        </w:rPr>
        <w:fldChar w:fldCharType="separate"/>
      </w:r>
      <w:r>
        <w:rPr>
          <w:sz w:val="20"/>
          <w:szCs w:val="20"/>
        </w:rPr>
        <w:t>(</w:t>
      </w:r>
      <w:r>
        <w:rPr>
          <w:sz w:val="20"/>
          <w:szCs w:val="20"/>
        </w:rPr>
        <w:t>3.00</w:t>
      </w:r>
      <w:r>
        <w:rPr>
          <w:sz w:val="20"/>
          <w:szCs w:val="20"/>
        </w:rPr>
        <w:t xml:space="preserve"> </w:t>
      </w:r>
      <w:r>
        <w:rPr>
          <w:i/>
          <w:iCs/>
          <w:sz w:val="20"/>
          <w:szCs w:val="20"/>
        </w:rPr>
        <w:t>AMA PRA Category 1 CME Credit(s)</w:t>
      </w:r>
      <w:r>
        <w:rPr>
          <w:rFonts w:ascii="Cambria" w:hAnsi="Cambria"/>
          <w:sz w:val="20"/>
          <w:szCs w:val="20"/>
        </w:rPr>
        <w:t>™)</w:t>
      </w:r>
    </w:p>
    <w:p w:rsidR="00443EE9" w:rsidP="00EA24D0">
      <w:pPr>
        <w:rPr>
          <w:rFonts w:ascii="Cambria" w:hAnsi="Cambria"/>
          <w:sz w:val="20"/>
          <w:szCs w:val="20"/>
        </w:rPr>
      </w:pPr>
    </w:p>
    <w:p w:rsidR="00443EE9" w:rsidRPr="00443EE9" w:rsidP="00443EE9">
      <w:pPr>
        <w:rPr>
          <w:sz w:val="20"/>
          <w:szCs w:val="20"/>
        </w:rPr>
      </w:pPr>
      <w:r w:rsidRPr="00443EE9">
        <w:rPr>
          <w:sz w:val="20"/>
          <w:szCs w:val="20"/>
        </w:rPr>
        <w:t xml:space="preserve">The Nationwide Children's Hospital designates this </w:t>
      </w:r>
      <w:r>
        <w:rPr>
          <w:sz w:val="20"/>
          <w:szCs w:val="20"/>
        </w:rPr>
        <w:t>live activity</w:t>
      </w:r>
      <w:r>
        <w:rPr>
          <w:sz w:val="20"/>
          <w:szCs w:val="20"/>
        </w:rPr>
        <w:t xml:space="preserve"> </w:t>
      </w:r>
      <w:r w:rsidRPr="00443EE9">
        <w:rPr>
          <w:sz w:val="20"/>
          <w:szCs w:val="20"/>
        </w:rPr>
        <w:t xml:space="preserve">for a maximum of </w:t>
      </w:r>
      <w:r>
        <w:rPr>
          <w:sz w:val="20"/>
          <w:szCs w:val="20"/>
        </w:rPr>
        <w:t>3.00</w:t>
      </w:r>
      <w:r w:rsidRPr="00443EE9">
        <w:rPr>
          <w:sz w:val="20"/>
          <w:szCs w:val="20"/>
        </w:rPr>
        <w:t xml:space="preserve"> </w:t>
      </w:r>
      <w:r w:rsidRPr="00443EE9">
        <w:rPr>
          <w:i/>
          <w:iCs/>
          <w:sz w:val="20"/>
          <w:szCs w:val="20"/>
        </w:rPr>
        <w:t>AMA PRA Category 1 Credit(s)</w:t>
      </w:r>
      <w:r w:rsidRPr="00443EE9">
        <w:rPr>
          <w:sz w:val="20"/>
          <w:szCs w:val="20"/>
          <w:vertAlign w:val="superscript"/>
        </w:rPr>
        <w:t>TM</w:t>
      </w:r>
      <w:r w:rsidRPr="00443EE9">
        <w:rPr>
          <w:sz w:val="20"/>
          <w:szCs w:val="20"/>
        </w:rPr>
        <w:t>.</w:t>
      </w:r>
      <w:r>
        <w:rPr>
          <w:sz w:val="20"/>
          <w:szCs w:val="20"/>
        </w:rPr>
        <w:t xml:space="preserve"> </w:t>
      </w:r>
      <w:r w:rsidRPr="00443EE9">
        <w:rPr>
          <w:sz w:val="20"/>
          <w:szCs w:val="20"/>
        </w:rPr>
        <w:t>Physicians should claim only the credit commensurate with the extent of their participation in the activity.</w:t>
      </w:r>
    </w:p>
    <w:p w:rsidP="00EA24D0">
      <w:pPr>
        <w:rPr>
          <w:sz w:val="20"/>
          <w:szCs w:val="20"/>
        </w:rPr>
      </w:pPr>
      <w:r>
        <w:rPr>
          <w:sz w:val="20"/>
          <w:szCs w:val="20"/>
        </w:rPr>
        <w:fldChar w:fldCharType="end"/>
      </w:r>
      <w:r w:rsidRPr="00207F0D" w:rsidR="00EA24D0">
        <w:rPr>
          <w:noProof/>
          <w:sz w:val="20"/>
        </w:rPr>
        <w:fldChar w:fldCharType="begin"/>
      </w:r>
      <w:r w:rsidRPr="00207F0D" w:rsidR="00EA24D0">
        <w:rPr>
          <w:noProof/>
          <w:sz w:val="20"/>
        </w:rPr>
        <w:instrText xml:space="preserve"> IF </w:instrText>
      </w:r>
      <w:r w:rsidRPr="00207F0D" w:rsidR="00EA24D0">
        <w:rPr>
          <w:noProof/>
          <w:sz w:val="20"/>
        </w:rPr>
        <w:instrText>0.00</w:instrText>
      </w:r>
      <w:r w:rsidRPr="00207F0D" w:rsidR="00EA24D0">
        <w:rPr>
          <w:noProof/>
          <w:sz w:val="20"/>
        </w:rPr>
        <w:instrText xml:space="preserve"> &gt; 0 "</w:instrText>
      </w:r>
    </w:p>
    <w:p w:rsidR="00EA24D0" w:rsidRPr="00207F0D" w:rsidP="00EA24D0">
      <w:pPr>
        <w:rPr>
          <w:noProof/>
          <w:sz w:val="20"/>
        </w:rPr>
      </w:pPr>
    </w:p>
    <w:p w:rsidR="009F7D61" w:rsidP="00EA24D0">
      <w:pPr>
        <w:rPr>
          <w:noProof/>
          <w:sz w:val="20"/>
        </w:rPr>
      </w:pPr>
      <w:r w:rsidRPr="00207F0D">
        <w:rPr>
          <w:noProof/>
          <w:sz w:val="20"/>
        </w:rPr>
        <w:drawing>
          <wp:anchor distT="0" distB="0" distL="114300" distR="114300" simplePos="0" relativeHeight="251659264" behindDoc="0" locked="0" layoutInCell="1" allowOverlap="1">
            <wp:simplePos x="0" y="0"/>
            <wp:positionH relativeFrom="column">
              <wp:posOffset>3175</wp:posOffset>
            </wp:positionH>
            <wp:positionV relativeFrom="paragraph">
              <wp:posOffset>6475</wp:posOffset>
            </wp:positionV>
            <wp:extent cx="873125" cy="579120"/>
            <wp:effectExtent l="0" t="0" r="3175" b="5080"/>
            <wp:wrapSquare wrapText="bothSides"/>
            <wp:docPr id="7" name="Picture 7" descr="A picture containing game, table,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game, table, drawing&#10;&#10;Description automatically generated"/>
                    <pic:cNvPicPr/>
                  </pic:nvPicPr>
                  <pic:blipFill rotWithShape="1">
                    <a:blip xmlns:r="http://schemas.openxmlformats.org/officeDocument/2006/relationships" r:embed="rId8" cstate="print">
                      <a:extLst>
                        <a:ext uri="{28A0092B-C50C-407E-A947-70E740481C1C}">
                          <a14:useLocalDpi xmlns:a14="http://schemas.microsoft.com/office/drawing/2010/main" val="0"/>
                        </a:ext>
                      </a:extLst>
                    </a:blip>
                    <a:srcRect l="6500" t="9106" r="6887" b="10419"/>
                    <a:stretch/>
                  </pic:blipFill>
                  <pic:spPr bwMode="auto">
                    <a:xfrm>
                      <a:off x="0" y="0"/>
                      <a:ext cx="873125" cy="579120"/>
                    </a:xfrm>
                    <a:prstGeom prst="rect">
                      <a:avLst/>
                    </a:prstGeom>
                    <a:ln>
                      <a:noFill/>
                    </a:ln>
                    <a:extLst>
                      <a:ext uri="{53640926-AAD7-44D8-BBD7-CCE9431645EC}">
                        <a14:shadowObscured xmlns:a14="http://schemas.microsoft.com/office/drawing/2010/main"/>
                      </a:ext>
                    </a:extLst>
                  </pic:spPr>
                </pic:pic>
              </a:graphicData>
            </a:graphic>
          </wp:anchor>
        </w:drawing>
      </w:r>
      <w:r w:rsidRPr="00207F0D">
        <w:rPr>
          <w:noProof/>
          <w:sz w:val="20"/>
        </w:rPr>
        <w:instrText xml:space="preserve">This activity was planned by and for the healthcare team, and learners will receive </w:instrText>
      </w:r>
      <w:r w:rsidRPr="00207F0D">
        <w:rPr>
          <w:noProof/>
          <w:sz w:val="20"/>
        </w:rPr>
        <w:fldChar w:fldCharType="begin"/>
      </w:r>
      <w:r w:rsidRPr="00207F0D">
        <w:rPr>
          <w:noProof/>
          <w:sz w:val="20"/>
        </w:rPr>
        <w:instrText xml:space="preserve"> MERGEFIELD IPCEHoursMax \# 0.00# </w:instrText>
      </w:r>
      <w:r w:rsidRPr="00207F0D">
        <w:rPr>
          <w:noProof/>
          <w:sz w:val="20"/>
        </w:rPr>
        <w:fldChar w:fldCharType="separate"/>
      </w:r>
      <w:r w:rsidRPr="00207F0D">
        <w:rPr>
          <w:noProof/>
          <w:sz w:val="20"/>
        </w:rPr>
        <w:instrText>«IPCEHoursMax»</w:instrText>
      </w:r>
      <w:r w:rsidRPr="00207F0D">
        <w:rPr>
          <w:noProof/>
          <w:sz w:val="20"/>
        </w:rPr>
        <w:fldChar w:fldCharType="end"/>
      </w:r>
      <w:r w:rsidRPr="00207F0D">
        <w:rPr>
          <w:noProof/>
          <w:sz w:val="20"/>
        </w:rPr>
        <w:instrText xml:space="preserve"> Interprofessional Continuing Education (IPCE) credit(s) for learning and change.</w:instrText>
      </w:r>
    </w:p>
    <w:p w:rsidR="009F7D61" w:rsidP="00EA24D0">
      <w:pPr>
        <w:rPr>
          <w:noProof/>
          <w:sz w:val="20"/>
        </w:rPr>
      </w:pPr>
    </w:p>
    <w:p w:rsidR="00EA24D0" w:rsidRPr="009F7D61" w:rsidP="00EA24D0">
      <w:pPr>
        <w:rPr>
          <w:noProof/>
          <w:sz w:val="20"/>
        </w:rPr>
      </w:pPr>
      <w:r w:rsidRPr="00207F0D">
        <w:rPr>
          <w:noProof/>
          <w:sz w:val="20"/>
        </w:rPr>
        <w:instrText xml:space="preserve">" "" </w:instrText>
      </w:r>
      <w:r w:rsidRPr="00207F0D">
        <w:rPr>
          <w:noProof/>
          <w:sz w:val="20"/>
        </w:rPr>
        <w:fldChar w:fldCharType="separate"/>
      </w:r>
      <w:r w:rsidRPr="00207F0D">
        <w:rPr>
          <w:noProof/>
          <w:sz w:val="20"/>
        </w:rPr>
        <w:fldChar w:fldCharType="end"/>
      </w:r>
      <w:r w:rsidRPr="00207F0D">
        <w:rPr>
          <w:rFonts w:eastAsiaTheme="minorHAnsi"/>
          <w:noProof/>
          <w:sz w:val="20"/>
          <w:szCs w:val="20"/>
        </w:rPr>
        <w:fldChar w:fldCharType="begin"/>
      </w:r>
      <w:r w:rsidRPr="00207F0D">
        <w:rPr>
          <w:noProof/>
          <w:sz w:val="20"/>
          <w:szCs w:val="20"/>
        </w:rPr>
        <w:instrText xml:space="preserve"> IF </w:instrText>
      </w:r>
      <w:r w:rsidRPr="00207F0D">
        <w:rPr>
          <w:noProof/>
          <w:sz w:val="20"/>
          <w:szCs w:val="20"/>
        </w:rPr>
        <w:instrText>0.00</w:instrText>
      </w:r>
      <w:r w:rsidRPr="00207F0D">
        <w:rPr>
          <w:noProof/>
          <w:sz w:val="20"/>
          <w:szCs w:val="20"/>
        </w:rPr>
        <w:instrText xml:space="preserve"> &gt; 0 "</w:instrText>
      </w:r>
    </w:p>
    <w:p w:rsidR="00EA24D0" w:rsidRPr="00207F0D" w:rsidP="00EA24D0">
      <w:pPr>
        <w:rPr>
          <w:noProof/>
          <w:sz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0288" behindDoc="0" locked="0" layoutInCell="1" allowOverlap="1">
            <wp:simplePos x="0" y="0"/>
            <wp:positionH relativeFrom="column">
              <wp:posOffset>0</wp:posOffset>
            </wp:positionH>
            <wp:positionV relativeFrom="paragraph">
              <wp:posOffset>13460</wp:posOffset>
            </wp:positionV>
            <wp:extent cx="828921" cy="664008"/>
            <wp:effectExtent l="0" t="0" r="0" b="0"/>
            <wp:wrapSquare wrapText="bothSides"/>
            <wp:docPr id="8" name="Picture 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logo&#10;&#10;Description automatically generated"/>
                    <pic:cNvPicPr/>
                  </pic:nvPicPr>
                  <pic:blipFill rotWithShape="1">
                    <a:blip xmlns:r="http://schemas.openxmlformats.org/officeDocument/2006/relationships" r:embed="rId9">
                      <a:extLst>
                        <a:ext uri="{28A0092B-C50C-407E-A947-70E740481C1C}">
                          <a14:useLocalDpi xmlns:a14="http://schemas.microsoft.com/office/drawing/2010/main" val="0"/>
                        </a:ext>
                      </a:extLst>
                    </a:blip>
                    <a:srcRect t="19144" b="19039"/>
                    <a:stretch/>
                  </pic:blipFill>
                  <pic:spPr bwMode="auto">
                    <a:xfrm>
                      <a:off x="0" y="0"/>
                      <a:ext cx="828921" cy="664008"/>
                    </a:xfrm>
                    <a:prstGeom prst="rect">
                      <a:avLst/>
                    </a:prstGeom>
                    <a:ln>
                      <a:noFill/>
                    </a:ln>
                    <a:extLst>
                      <a:ext uri="{53640926-AAD7-44D8-BBD7-CCE9431645EC}">
                        <a14:shadowObscured xmlns:a14="http://schemas.microsoft.com/office/drawing/2010/main"/>
                      </a:ext>
                    </a:extLst>
                  </pic:spPr>
                </pic:pic>
              </a:graphicData>
            </a:graphic>
          </wp:anchor>
        </w:drawing>
      </w:r>
      <w:r w:rsidRPr="00207F0D">
        <w:rPr>
          <w:rFonts w:asciiTheme="minorHAnsi" w:hAnsiTheme="minorHAnsi"/>
          <w:noProof/>
          <w:sz w:val="20"/>
          <w:szCs w:val="20"/>
        </w:rPr>
        <w:instrText xml:space="preserve">Nationwide Children's Hospital has been authorized by the American Academy of PAs (AAPA) to award AAPA Category 1 CME credit for activities planned in accordance with AAPA CME Criteria. This activity is designated for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AAPAHOURSMax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instrText>«AAPAHOURSMax»</w:instrText>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AAPA Category 1 CME credit(s). Approval is valid for 2 years from the date of the activity. PAs should only claim credit commensurate with the extent of their participation."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1312" behindDoc="0" locked="0" layoutInCell="1" allowOverlap="1">
            <wp:simplePos x="0" y="0"/>
            <wp:positionH relativeFrom="column">
              <wp:posOffset>3175</wp:posOffset>
            </wp:positionH>
            <wp:positionV relativeFrom="paragraph">
              <wp:posOffset>9525</wp:posOffset>
            </wp:positionV>
            <wp:extent cx="995045" cy="377190"/>
            <wp:effectExtent l="0" t="0" r="0" b="3810"/>
            <wp:wrapSquare wrapText="bothSides"/>
            <wp:docPr id="10" name="Picture 10"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995045" cy="377190"/>
                    </a:xfrm>
                    <a:prstGeom prst="rect">
                      <a:avLst/>
                    </a:prstGeom>
                  </pic:spPr>
                </pic:pic>
              </a:graphicData>
            </a:graphic>
          </wp:anchor>
        </w:drawing>
      </w:r>
      <w:r w:rsidRPr="00207F0D">
        <w:rPr>
          <w:rFonts w:asciiTheme="minorHAnsi" w:hAnsiTheme="minorHAnsi"/>
          <w:sz w:val="20"/>
          <w:szCs w:val="20"/>
        </w:rPr>
        <w:instrText xml:space="preserve">As a Jointly Accredited Organization, Nationwide Children's Hospital is approved to offer social work continuing education by the Association of Social Work Boards (ASWB) Approved Continuing Education (ACE) program. Organizations, not individual courses, are approved under this program. State and provincial regulatory boards have the final authority to determine whether an individual course may be accepted for continuing education credit. Nationwide Children's Hospital maintains responsibility for this course. Social workers completing this course receive </w:instrText>
      </w:r>
      <w:r w:rsidRPr="00207F0D">
        <w:rPr>
          <w:rFonts w:asciiTheme="minorHAnsi" w:hAnsiTheme="minorHAnsi"/>
          <w:sz w:val="20"/>
          <w:szCs w:val="20"/>
        </w:rPr>
        <w:fldChar w:fldCharType="begin"/>
      </w:r>
      <w:r w:rsidRPr="00207F0D">
        <w:rPr>
          <w:rFonts w:asciiTheme="minorHAnsi" w:hAnsiTheme="minorHAnsi"/>
          <w:sz w:val="20"/>
          <w:szCs w:val="20"/>
        </w:rPr>
        <w:instrText xml:space="preserve"> MERGEFIELD ASWBHOURSMax \# 0.00# </w:instrText>
      </w:r>
      <w:r w:rsidRPr="00207F0D">
        <w:rPr>
          <w:rFonts w:asciiTheme="minorHAnsi" w:hAnsiTheme="minorHAnsi"/>
          <w:sz w:val="20"/>
          <w:szCs w:val="20"/>
        </w:rPr>
        <w:fldChar w:fldCharType="separate"/>
      </w:r>
      <w:r w:rsidRPr="00207F0D">
        <w:rPr>
          <w:rFonts w:asciiTheme="minorHAnsi" w:hAnsiTheme="minorHAnsi"/>
          <w:noProof/>
          <w:sz w:val="20"/>
          <w:szCs w:val="20"/>
        </w:rPr>
        <w:instrText>«ASWBHOURSMax»</w:instrText>
      </w:r>
      <w:r w:rsidRPr="00207F0D">
        <w:rPr>
          <w:rFonts w:asciiTheme="minorHAnsi" w:hAnsiTheme="minorHAnsi"/>
          <w:sz w:val="20"/>
          <w:szCs w:val="20"/>
        </w:rPr>
        <w:fldChar w:fldCharType="end"/>
      </w:r>
      <w:r w:rsidRPr="00207F0D">
        <w:rPr>
          <w:rFonts w:asciiTheme="minorHAnsi" w:hAnsiTheme="minorHAnsi"/>
          <w:sz w:val="20"/>
          <w:szCs w:val="20"/>
        </w:rPr>
        <w:instrText xml:space="preserve"> continuing education credit(s).</w:instrText>
      </w:r>
      <w:r w:rsidRPr="00207F0D">
        <w:rPr>
          <w:rFonts w:asciiTheme="minorHAnsi" w:hAnsiTheme="minorHAnsi"/>
          <w:noProof/>
          <w:sz w:val="20"/>
          <w:szCs w:val="20"/>
        </w:rPr>
        <w:instrText xml:space="preserve">"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2336" behindDoc="0" locked="0" layoutInCell="1" allowOverlap="1">
            <wp:simplePos x="0" y="0"/>
            <wp:positionH relativeFrom="column">
              <wp:posOffset>3175</wp:posOffset>
            </wp:positionH>
            <wp:positionV relativeFrom="paragraph">
              <wp:posOffset>6475</wp:posOffset>
            </wp:positionV>
            <wp:extent cx="1147766" cy="453755"/>
            <wp:effectExtent l="0" t="0" r="0" b="3810"/>
            <wp:wrapSquare wrapText="bothSides"/>
            <wp:docPr id="4" name="Picture 4"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with medium confidence"/>
                    <pic:cNvPicPr/>
                  </pic:nvPicPr>
                  <pic:blipFill>
                    <a:blip xmlns:r="http://schemas.openxmlformats.org/officeDocument/2006/relationships" r:embed="rId11" cstate="print">
                      <a:extLst>
                        <a:ext uri="{28A0092B-C50C-407E-A947-70E740481C1C}">
                          <a14:useLocalDpi xmlns:a14="http://schemas.microsoft.com/office/drawing/2010/main" val="0"/>
                        </a:ext>
                      </a:extLst>
                    </a:blip>
                    <a:stretch>
                      <a:fillRect/>
                    </a:stretch>
                  </pic:blipFill>
                  <pic:spPr>
                    <a:xfrm>
                      <a:off x="0" y="0"/>
                      <a:ext cx="1147766" cy="453755"/>
                    </a:xfrm>
                    <a:prstGeom prst="rect">
                      <a:avLst/>
                    </a:prstGeom>
                  </pic:spPr>
                </pic:pic>
              </a:graphicData>
            </a:graphic>
          </wp:anchor>
        </w:drawing>
      </w:r>
      <w:r w:rsidRPr="00207F0D">
        <w:rPr>
          <w:rFonts w:asciiTheme="minorHAnsi" w:hAnsiTheme="minorHAnsi"/>
          <w:noProof/>
          <w:sz w:val="20"/>
          <w:szCs w:val="20"/>
        </w:rPr>
        <w:instrText>Continuing Education (CE) credits for psychologists are provided through the co-sponsorship of the American Psychological Association (APA) Office of Continuing Education in Psychology (CEP). The APA CEP Office maintains responsibility for the content of the programs.</w:instrText>
      </w:r>
      <w:r w:rsidRPr="00207F0D">
        <w:rPr>
          <w:rFonts w:asciiTheme="minorHAnsi" w:hAnsiTheme="minorHAnsi"/>
        </w:rPr>
        <w:instrText xml:space="preserve"> </w:instrText>
      </w:r>
      <w:r w:rsidRPr="00207F0D">
        <w:rPr>
          <w:rFonts w:asciiTheme="minorHAnsi" w:hAnsiTheme="minorHAnsi"/>
          <w:noProof/>
          <w:sz w:val="20"/>
          <w:szCs w:val="20"/>
        </w:rPr>
        <w:instrText xml:space="preserve">Nationwide Children's Hospital designates this activity for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APAHOURSMax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continuing education credit(s)."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00443EE9">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3360" behindDoc="0" locked="0" layoutInCell="1" allowOverlap="1">
            <wp:simplePos x="0" y="0"/>
            <wp:positionH relativeFrom="column">
              <wp:posOffset>3175</wp:posOffset>
            </wp:positionH>
            <wp:positionV relativeFrom="paragraph">
              <wp:posOffset>158115</wp:posOffset>
            </wp:positionV>
            <wp:extent cx="1099820" cy="1033780"/>
            <wp:effectExtent l="0" t="0" r="0" b="0"/>
            <wp:wrapSquare wrapText="bothSides"/>
            <wp:docPr id="9" name="Picture 9"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outdoor, sign&#10;&#10;Description automatically generated"/>
                    <pic:cNvPicPr/>
                  </pic:nvPicPr>
                  <pic:blipFill>
                    <a:blip xmlns:r="http://schemas.openxmlformats.org/officeDocument/2006/relationships" r:embed="rId12">
                      <a:extLst>
                        <a:ext uri="{28A0092B-C50C-407E-A947-70E740481C1C}">
                          <a14:useLocalDpi xmlns:a14="http://schemas.microsoft.com/office/drawing/2010/main" val="0"/>
                        </a:ext>
                      </a:extLst>
                    </a:blip>
                    <a:stretch>
                      <a:fillRect/>
                    </a:stretch>
                  </pic:blipFill>
                  <pic:spPr>
                    <a:xfrm>
                      <a:off x="0" y="0"/>
                      <a:ext cx="1099820" cy="1033780"/>
                    </a:xfrm>
                    <a:prstGeom prst="rect">
                      <a:avLst/>
                    </a:prstGeom>
                  </pic:spPr>
                </pic:pic>
              </a:graphicData>
            </a:graphic>
          </wp:anchor>
        </w:drawing>
      </w:r>
    </w:p>
    <w:p w:rsidR="00EA24D0" w:rsidRPr="00207F0D" w:rsidP="00EA24D0">
      <w:pPr>
        <w:pStyle w:val="NormalWeb"/>
        <w:spacing w:before="0" w:beforeAutospacing="0" w:after="0" w:afterAutospacing="0"/>
        <w:rPr>
          <w:rFonts w:asciiTheme="minorHAnsi" w:hAnsiTheme="minorHAnsi" w:cstheme="minorHAnsi"/>
          <w:sz w:val="20"/>
          <w:szCs w:val="20"/>
        </w:rPr>
      </w:pPr>
      <w:r w:rsidRPr="00207F0D">
        <w:rPr>
          <w:rFonts w:asciiTheme="minorHAnsi" w:hAnsiTheme="minorHAnsi"/>
          <w:noProof/>
          <w:sz w:val="20"/>
          <w:szCs w:val="20"/>
        </w:rPr>
        <w:instrText>Nationwide Children's Hospital is an ADA CERP Recognized Provider. ADA CERP is a service of the American Dental Association to assist dental professionals in identifying quality providers of continuing dental education. ADA CERP does not approve or endorse</w:instrText>
      </w:r>
      <w:r w:rsidRPr="00207F0D">
        <w:rPr>
          <w:rFonts w:asciiTheme="minorHAnsi" w:hAnsiTheme="minorHAnsi"/>
        </w:rPr>
        <w:instrText xml:space="preserve"> </w:instrText>
      </w:r>
      <w:r w:rsidRPr="00207F0D">
        <w:rPr>
          <w:rFonts w:asciiTheme="minorHAnsi" w:hAnsiTheme="minorHAnsi"/>
          <w:noProof/>
          <w:sz w:val="20"/>
          <w:szCs w:val="20"/>
        </w:rPr>
        <w:instrText xml:space="preserve">individual courses or instructors, nor does it imply acceptance of credit hours by boards of dentistry. Concerns or complaints about a CE provider may be directed to the provider or to the Commission for Continuing Education Provider Recognition at ADA.org/CERP. Nationwide Children's Hospital designates this activity for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ADAHoursMax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instrText>«ADAHoursMax»</w:instrText>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continuing education credits."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cstheme="minorHAnsi"/>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4384" behindDoc="0" locked="0" layoutInCell="1" allowOverlap="1">
            <wp:simplePos x="0" y="0"/>
            <wp:positionH relativeFrom="column">
              <wp:posOffset>0</wp:posOffset>
            </wp:positionH>
            <wp:positionV relativeFrom="paragraph">
              <wp:posOffset>8890</wp:posOffset>
            </wp:positionV>
            <wp:extent cx="651510" cy="651510"/>
            <wp:effectExtent l="0" t="0" r="0" b="0"/>
            <wp:wrapSquare wrapText="bothSides"/>
            <wp:docPr id="12" name="Picture 1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pic:cNvPicPr/>
                  </pic:nvPicPr>
                  <pic:blipFill>
                    <a:blip xmlns:r="http://schemas.openxmlformats.org/officeDocument/2006/relationships" r:embed="rId13" cstate="print">
                      <a:extLst>
                        <a:ext uri="{28A0092B-C50C-407E-A947-70E740481C1C}">
                          <a14:useLocalDpi xmlns:a14="http://schemas.microsoft.com/office/drawing/2010/main" val="0"/>
                        </a:ext>
                      </a:extLst>
                    </a:blip>
                    <a:stretch>
                      <a:fillRect/>
                    </a:stretch>
                  </pic:blipFill>
                  <pic:spPr>
                    <a:xfrm>
                      <a:off x="0" y="0"/>
                      <a:ext cx="651510" cy="651510"/>
                    </a:xfrm>
                    <a:prstGeom prst="rect">
                      <a:avLst/>
                    </a:prstGeom>
                  </pic:spPr>
                </pic:pic>
              </a:graphicData>
            </a:graphic>
          </wp:anchor>
        </w:drawing>
      </w:r>
      <w:r w:rsidRPr="00207F0D">
        <w:rPr>
          <w:rFonts w:asciiTheme="minorHAnsi" w:hAnsiTheme="minorHAnsi"/>
          <w:noProof/>
          <w:sz w:val="20"/>
          <w:szCs w:val="20"/>
        </w:rPr>
        <w:instrText xml:space="preserve">Nationwide Children’s Hospital (BOC AP#: P3772) is approved by the Board of Certification, Inc. to provide continuing education to Athletic Trainers (ATs). This program is eligible for a maximum of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ATHoursMax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Category A hours/CEUs. ATs should claim only those hours actually spent in the educational program."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5408" behindDoc="0" locked="0" layoutInCell="1" allowOverlap="1">
            <wp:simplePos x="0" y="0"/>
            <wp:positionH relativeFrom="column">
              <wp:posOffset>0</wp:posOffset>
            </wp:positionH>
            <wp:positionV relativeFrom="paragraph">
              <wp:posOffset>81280</wp:posOffset>
            </wp:positionV>
            <wp:extent cx="1293495" cy="744220"/>
            <wp:effectExtent l="0" t="0" r="1905" b="5080"/>
            <wp:wrapSquare wrapText="bothSides"/>
            <wp:docPr id="13" name="Picture 1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ext&#10;&#10;Description automatically generated"/>
                    <pic:cNvPicPr/>
                  </pic:nvPicPr>
                  <pic:blipFill>
                    <a:blip xmlns:r="http://schemas.openxmlformats.org/officeDocument/2006/relationships" r:embed="rId14" cstate="print">
                      <a:extLst>
                        <a:ext uri="{28A0092B-C50C-407E-A947-70E740481C1C}">
                          <a14:useLocalDpi xmlns:a14="http://schemas.microsoft.com/office/drawing/2010/main" val="0"/>
                        </a:ext>
                      </a:extLst>
                    </a:blip>
                    <a:stretch>
                      <a:fillRect/>
                    </a:stretch>
                  </pic:blipFill>
                  <pic:spPr>
                    <a:xfrm>
                      <a:off x="0" y="0"/>
                      <a:ext cx="1293495" cy="744220"/>
                    </a:xfrm>
                    <a:prstGeom prst="rect">
                      <a:avLst/>
                    </a:prstGeom>
                  </pic:spPr>
                </pic:pic>
              </a:graphicData>
            </a:graphic>
          </wp:anchor>
        </w:drawing>
      </w:r>
      <w:r w:rsidRPr="00207F0D">
        <w:rPr>
          <w:rFonts w:asciiTheme="minorHAnsi" w:hAnsiTheme="minorHAnsi"/>
          <w:noProof/>
          <w:sz w:val="20"/>
          <w:szCs w:val="20"/>
        </w:rPr>
        <w:instrText xml:space="preserve">Completion of this RD/DTR profession-specific or IPCE activity awards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CDRHoursMax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CPEUs (One IPCE credit = One CPEU). If the activity is dietetics-related but not targeted to RD or DTRs, CPEUs may be claimed which are commensurate with participation in contact hours (One 60 minute hour = 1CPEU). RDs and DTRs are to select activity type 102 in their Activity Log, Sphere and Competency selection is at the learners' discretion."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182880" distL="0" distR="91440" simplePos="0" relativeHeight="251658240" behindDoc="0" locked="0" layoutInCell="1" allowOverlap="1">
            <wp:simplePos x="0" y="0"/>
            <wp:positionH relativeFrom="column">
              <wp:posOffset>3175</wp:posOffset>
            </wp:positionH>
            <wp:positionV relativeFrom="paragraph">
              <wp:posOffset>155575</wp:posOffset>
            </wp:positionV>
            <wp:extent cx="929005" cy="763905"/>
            <wp:effectExtent l="0" t="0" r="0" b="0"/>
            <wp:wrapSquare wrapText="bothSides"/>
            <wp:docPr id="11" name="Picture 11" descr="The American Board of Pediatrics&#10;MOC Par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he American Board of Pediatrics&#10;MOC Part 2"/>
                    <pic:cNvPicPr/>
                  </pic:nvPicPr>
                  <pic:blipFill rotWithShape="1">
                    <a:blip xmlns:r="http://schemas.openxmlformats.org/officeDocument/2006/relationships" r:embed="rId15" cstate="print">
                      <a:extLst>
                        <a:ext uri="{28A0092B-C50C-407E-A947-70E740481C1C}">
                          <a14:useLocalDpi xmlns:a14="http://schemas.microsoft.com/office/drawing/2010/main" val="0"/>
                        </a:ext>
                      </a:extLst>
                    </a:blip>
                    <a:srcRect t="9940" b="8015"/>
                    <a:stretch/>
                  </pic:blipFill>
                  <pic:spPr bwMode="auto">
                    <a:xfrm>
                      <a:off x="0" y="0"/>
                      <a:ext cx="929005" cy="763905"/>
                    </a:xfrm>
                    <a:prstGeom prst="rect">
                      <a:avLst/>
                    </a:prstGeom>
                    <a:ln>
                      <a:noFill/>
                    </a:ln>
                    <a:extLst>
                      <a:ext uri="{53640926-AAD7-44D8-BBD7-CCE9431645EC}">
                        <a14:shadowObscured xmlns:a14="http://schemas.microsoft.com/office/drawing/2010/main"/>
                      </a:ext>
                    </a:extLst>
                  </pic:spPr>
                </pic:pic>
              </a:graphicData>
            </a:graphic>
          </wp:anchor>
        </w:drawing>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instrText xml:space="preserve">Successful completion of this live CME activity, which includes participation in the activity, with individual assessments of the participant and feedback to the participant enables the participant to earn up to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ABPHoursMax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MOC points in the American Board of Pediatrics' (ABP) Maintenance of Certification (MOC) program. It is the CME activity provider’s responsibility to submit participant completion information to ACCME for the purpose of granting ABP MOC credit"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p>
    <w:p w:rsidR="00DF1BF4" w:rsidP="000D59D9">
      <w:pPr>
        <w:jc w:val="center"/>
        <w:rPr>
          <w:b/>
          <w:sz w:val="20"/>
          <w:szCs w:val="20"/>
        </w:rPr>
        <w:sectPr w:rsidSect="00AD1536">
          <w:headerReference w:type="even" r:id="rId16"/>
          <w:headerReference w:type="default" r:id="rId17"/>
          <w:footerReference w:type="default" r:id="rId18"/>
          <w:headerReference w:type="first" r:id="rId19"/>
          <w:type w:val="continuous"/>
          <w:pgSz w:w="12240" w:h="15840"/>
          <w:pgMar w:top="720" w:right="720" w:bottom="720" w:left="720" w:header="720" w:footer="720" w:gutter="0"/>
          <w:cols w:space="144"/>
          <w:docGrid w:linePitch="326"/>
        </w:sectPr>
      </w:pPr>
    </w:p>
    <w:p w:rsidR="000D59D9" w:rsidRPr="00207F0D" w:rsidP="000D59D9">
      <w:pPr>
        <w:jc w:val="center"/>
        <w:rPr>
          <w:b/>
          <w:sz w:val="20"/>
          <w:szCs w:val="20"/>
        </w:rPr>
      </w:pPr>
    </w:p>
    <w:p w:rsidR="00F634CA" w:rsidRPr="00207F0D" w:rsidP="000D59D9">
      <w:pPr>
        <w:jc w:val="center"/>
        <w:rPr>
          <w:b/>
          <w:bCs/>
          <w:sz w:val="22"/>
          <w:szCs w:val="22"/>
        </w:rPr>
      </w:pPr>
    </w:p>
    <w:p w:rsidR="000D59D9" w:rsidRPr="00207F0D" w:rsidP="000D59D9">
      <w:pPr>
        <w:jc w:val="center"/>
        <w:rPr>
          <w:b/>
          <w:bCs/>
          <w:sz w:val="22"/>
          <w:szCs w:val="22"/>
        </w:rPr>
      </w:pPr>
      <w:r w:rsidRPr="00207F0D">
        <w:rPr>
          <w:b/>
          <w:bCs/>
          <w:sz w:val="22"/>
          <w:szCs w:val="22"/>
        </w:rPr>
        <w:t xml:space="preserve">Disclosure of Relevant Financial Relationships and </w:t>
      </w:r>
      <w:r w:rsidRPr="00207F0D" w:rsidR="000130CB">
        <w:rPr>
          <w:b/>
          <w:bCs/>
          <w:sz w:val="22"/>
          <w:szCs w:val="22"/>
        </w:rPr>
        <w:t>Content Validity</w:t>
      </w:r>
    </w:p>
    <w:p w:rsidR="000D59D9" w:rsidRPr="00207F0D" w:rsidP="000D59D9">
      <w:pPr>
        <w:jc w:val="center"/>
        <w:rPr>
          <w:sz w:val="22"/>
          <w:szCs w:val="22"/>
        </w:rPr>
      </w:pPr>
    </w:p>
    <w:p w:rsidR="000D59D9" w:rsidRPr="00207F0D" w:rsidP="000D59D9">
      <w:pPr>
        <w:rPr>
          <w:sz w:val="22"/>
          <w:szCs w:val="22"/>
        </w:rPr>
      </w:pPr>
      <w:r w:rsidRPr="00207F0D">
        <w:rPr>
          <w:sz w:val="22"/>
          <w:szCs w:val="22"/>
        </w:rPr>
        <w:t xml:space="preserve">It is policy at Nationwide Children’s Hospital Office of Continuing Medical and Interprofessional Education for individuals who are </w:t>
      </w:r>
      <w:r w:rsidRPr="00207F0D">
        <w:rPr>
          <w:sz w:val="22"/>
          <w:szCs w:val="22"/>
        </w:rPr>
        <w:t>in a position</w:t>
      </w:r>
      <w:r w:rsidRPr="00207F0D">
        <w:rPr>
          <w:sz w:val="22"/>
          <w:szCs w:val="22"/>
        </w:rPr>
        <w:t xml:space="preserve"> to control the content of an educational activity to disclose to the learners all relevant financial relationships that they have with any commercial interest that provide products or services that may be relevant to the content of this continuing education activity. </w:t>
      </w:r>
    </w:p>
    <w:p w:rsidR="000D59D9" w:rsidRPr="00207F0D" w:rsidP="000D59D9">
      <w:pPr>
        <w:rPr>
          <w:sz w:val="22"/>
          <w:szCs w:val="22"/>
        </w:rPr>
      </w:pPr>
    </w:p>
    <w:p w:rsidR="006266C7" w:rsidRPr="00207F0D" w:rsidP="006266C7">
      <w:pPr>
        <w:rPr>
          <w:sz w:val="22"/>
          <w:szCs w:val="22"/>
        </w:rPr>
      </w:pPr>
      <w:r w:rsidRPr="00207F0D">
        <w:rPr>
          <w:sz w:val="22"/>
          <w:szCs w:val="22"/>
        </w:rPr>
        <w:t xml:space="preserve">The intent of this policy is to ensure that Nationwide Children’s Hospital CME/CE certified activities promote quality and safety, are effective in improving medical practice, are based on valid content, and are independent of control from </w:t>
      </w:r>
      <w:r w:rsidRPr="00207F0D" w:rsidR="000130CB">
        <w:rPr>
          <w:sz w:val="22"/>
          <w:szCs w:val="22"/>
        </w:rPr>
        <w:t>ineligible companies (those whose primary business is producing, marketing, selling, re-selling, or distributing healthcare products used by or on patients)</w:t>
      </w:r>
      <w:r w:rsidRPr="00207F0D">
        <w:rPr>
          <w:sz w:val="22"/>
          <w:szCs w:val="22"/>
        </w:rPr>
        <w:t xml:space="preserve"> and free of commercial bias. </w:t>
      </w:r>
      <w:r w:rsidRPr="00207F0D" w:rsidR="000130CB">
        <w:rPr>
          <w:sz w:val="22"/>
          <w:szCs w:val="22"/>
        </w:rPr>
        <w:t xml:space="preserve"> Mitigation methods including p</w:t>
      </w:r>
      <w:r w:rsidRPr="00207F0D">
        <w:rPr>
          <w:sz w:val="22"/>
          <w:szCs w:val="22"/>
        </w:rPr>
        <w:t>eer review of all content was conducted for all faculty presentations whose disclosure information was found to contain relationships that created a conflict of interest relevant to the topic of their presentation.</w:t>
      </w:r>
    </w:p>
    <w:p w:rsidR="006266C7" w:rsidP="006266C7">
      <w:pPr>
        <w:rPr>
          <w:sz w:val="22"/>
          <w:szCs w:val="22"/>
        </w:rPr>
      </w:pPr>
    </w:p>
    <w:p w:rsidR="000D59D9" w:rsidRPr="005F118A" w:rsidP="006266C7">
      <w:pPr>
        <w:rPr>
          <w:sz w:val="22"/>
          <w:szCs w:val="22"/>
        </w:rPr>
      </w:pPr>
      <w:r w:rsidRPr="005F118A">
        <w:rPr>
          <w:sz w:val="22"/>
          <w:szCs w:val="22"/>
        </w:rPr>
        <w:t xml:space="preserve">In addition, all faculty were instructed to provide balanced, scientifically rigorous and evidence-based presentations. </w:t>
      </w:r>
      <w:r w:rsidRPr="006266C7" w:rsidR="006266C7">
        <w:rPr>
          <w:sz w:val="22"/>
          <w:szCs w:val="22"/>
        </w:rPr>
        <w:t>All recommendations for patient care in accredited continuing education must be based on current science, evidence,</w:t>
      </w:r>
      <w:r w:rsidR="006266C7">
        <w:rPr>
          <w:sz w:val="22"/>
          <w:szCs w:val="22"/>
        </w:rPr>
        <w:t xml:space="preserve"> </w:t>
      </w:r>
      <w:r w:rsidRPr="006266C7" w:rsidR="006266C7">
        <w:rPr>
          <w:sz w:val="22"/>
          <w:szCs w:val="22"/>
        </w:rPr>
        <w:t>and clinical reasoning, while giving a fair and balanced view of diagnostic and therapeutic options.</w:t>
      </w:r>
      <w:r w:rsidR="006266C7">
        <w:rPr>
          <w:sz w:val="22"/>
          <w:szCs w:val="22"/>
        </w:rPr>
        <w:t xml:space="preserve">  </w:t>
      </w:r>
      <w:r w:rsidRPr="006266C7" w:rsidR="006266C7">
        <w:rPr>
          <w:sz w:val="22"/>
          <w:szCs w:val="22"/>
        </w:rPr>
        <w:t>All scientific research referred to, reported, or used in accredited education in support or justification of a patient care</w:t>
      </w:r>
      <w:r w:rsidR="006266C7">
        <w:rPr>
          <w:sz w:val="22"/>
          <w:szCs w:val="22"/>
        </w:rPr>
        <w:t xml:space="preserve"> </w:t>
      </w:r>
      <w:r w:rsidRPr="006266C7" w:rsidR="006266C7">
        <w:rPr>
          <w:sz w:val="22"/>
          <w:szCs w:val="22"/>
        </w:rPr>
        <w:t>recommendation must conform to the generally accepted standards of experimental design, data collection, analysis,</w:t>
      </w:r>
      <w:r w:rsidR="006266C7">
        <w:rPr>
          <w:sz w:val="22"/>
          <w:szCs w:val="22"/>
        </w:rPr>
        <w:t xml:space="preserve"> </w:t>
      </w:r>
      <w:r w:rsidRPr="006266C7" w:rsidR="006266C7">
        <w:rPr>
          <w:sz w:val="22"/>
          <w:szCs w:val="22"/>
        </w:rPr>
        <w:t>and interpretation</w:t>
      </w:r>
      <w:r w:rsidR="006266C7">
        <w:rPr>
          <w:sz w:val="22"/>
          <w:szCs w:val="22"/>
        </w:rPr>
        <w:t>.</w:t>
      </w:r>
    </w:p>
    <w:p w:rsidR="000D59D9" w:rsidP="00571B99">
      <w:pPr>
        <w:rPr>
          <w:iCs/>
          <w:sz w:val="16"/>
          <w:szCs w:val="16"/>
        </w:rPr>
      </w:pPr>
    </w:p>
    <w:p w:rsidR="00571B99" w:rsidRPr="00AD1536" w:rsidP="00F10DFD">
      <w:pPr>
        <w:jc w:val="right"/>
        <w:rPr>
          <w:i/>
          <w:sz w:val="16"/>
          <w:szCs w:val="16"/>
        </w:rPr>
      </w:pPr>
      <w:r>
        <w:rPr>
          <w:i/>
          <w:sz w:val="16"/>
          <w:szCs w:val="16"/>
        </w:rPr>
        <w:t>IPCE Program</w:t>
      </w:r>
      <w:r w:rsidRPr="00160034">
        <w:rPr>
          <w:i/>
          <w:sz w:val="16"/>
          <w:szCs w:val="16"/>
        </w:rPr>
        <w:t xml:space="preserve"> DOCUMENT </w:t>
      </w:r>
      <w:r>
        <w:rPr>
          <w:i/>
          <w:sz w:val="16"/>
          <w:szCs w:val="16"/>
        </w:rPr>
        <w:t>Vers</w:t>
      </w:r>
      <w:r>
        <w:rPr>
          <w:i/>
          <w:sz w:val="16"/>
          <w:szCs w:val="16"/>
        </w:rPr>
        <w:t xml:space="preserve">. </w:t>
      </w:r>
      <w:r w:rsidR="006266C7">
        <w:rPr>
          <w:i/>
          <w:sz w:val="16"/>
          <w:szCs w:val="16"/>
        </w:rPr>
        <w:t>2</w:t>
      </w:r>
      <w:r>
        <w:rPr>
          <w:i/>
          <w:sz w:val="16"/>
          <w:szCs w:val="16"/>
        </w:rPr>
        <w:t xml:space="preserve">; </w:t>
      </w:r>
      <w:r w:rsidR="006266C7">
        <w:rPr>
          <w:i/>
          <w:sz w:val="16"/>
          <w:szCs w:val="16"/>
        </w:rPr>
        <w:t>1.6.2</w:t>
      </w:r>
      <w:r>
        <w:rPr>
          <w:i/>
          <w:sz w:val="16"/>
          <w:szCs w:val="16"/>
        </w:rPr>
        <w:t>02</w:t>
      </w:r>
      <w:r w:rsidR="006266C7">
        <w:rPr>
          <w:i/>
          <w:sz w:val="16"/>
          <w:szCs w:val="16"/>
        </w:rPr>
        <w:t>2</w:t>
      </w:r>
    </w:p>
    <w:sectPr w:rsidSect="00DF1BF4">
      <w:pgSz w:w="12240" w:h="15840"/>
      <w:pgMar w:top="720" w:right="720" w:bottom="720" w:left="720" w:header="720" w:footer="720" w:gutter="0"/>
      <w:cols w:space="144"/>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54D9">
    <w:pPr>
      <w:pStyle w:val="Footer"/>
    </w:pPr>
  </w:p>
  <w:p w:rsidR="00E554D9">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52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height:11in;margin-left:0;margin-top:0;mso-height-percent:0;mso-position-horizontal:center;mso-position-horizontal-relative:margin;mso-position-vertical:center;mso-position-vertical-relative:margin;mso-width-percent:0;mso-wrap-edited:f;position:absolute;width:612pt;z-index:-251657216" wrapcoords="-26 0 -26 21559 21600 21559 21600 0 -26 0">
          <v:imagedata r:id="rId1" o:title="NCHElectronic LetterheadRGB"/>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51A8" w:rsidP="00D749F4">
    <w:pPr>
      <w:tabs>
        <w:tab w:val="left" w:pos="7548"/>
      </w:tabs>
      <w:rPr>
        <w:rFonts w:ascii="Garamond" w:hAnsi="Garamond"/>
        <w:b/>
        <w:bCs/>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0" type="#_x0000_t75" style="height:11in;margin-left:-35.4pt;margin-top:-139.7pt;mso-height-percent:0;mso-position-horizontal-relative:margin;mso-position-vertical-relative:margin;mso-width-percent:0;mso-wrap-edited:f;position:absolute;width:612pt;z-index:-251658240" wrapcoords="-26 0 -26 21559 21600 21559 21600 0 -26 0">
          <v:imagedata r:id="rId1" o:title="NCHElectronic LetterheadRGB"/>
          <w10:wrap anchorx="margin" anchory="margin"/>
        </v:shape>
      </w:pict>
    </w:r>
    <w:r w:rsidR="00D749F4">
      <w:rPr>
        <w:rFonts w:ascii="Garamond" w:hAnsi="Garamond"/>
        <w:b/>
        <w:bCs/>
      </w:rPr>
      <w:tab/>
    </w:r>
  </w:p>
  <w:p w:rsidR="00D749F4" w:rsidP="00D749F4">
    <w:pPr>
      <w:tabs>
        <w:tab w:val="left" w:pos="7548"/>
      </w:tabs>
      <w:rPr>
        <w:rFonts w:ascii="Garamond" w:hAnsi="Garamond"/>
        <w:b/>
        <w:bCs/>
      </w:rPr>
    </w:pPr>
  </w:p>
  <w:p w:rsidR="00ED51A8" w:rsidP="00ED51A8">
    <w:pPr>
      <w:rPr>
        <w:rFonts w:ascii="Garamond" w:hAnsi="Garamond"/>
        <w:b/>
        <w:bCs/>
      </w:rPr>
    </w:pPr>
  </w:p>
  <w:p w:rsidR="00ED51A8" w:rsidP="00D749F4">
    <w:pPr>
      <w:tabs>
        <w:tab w:val="left" w:pos="6984"/>
      </w:tabs>
      <w:rPr>
        <w:rFonts w:ascii="Garamond" w:hAnsi="Garamond"/>
        <w:b/>
        <w:bCs/>
      </w:rPr>
    </w:pPr>
    <w:r>
      <w:rPr>
        <w:rFonts w:ascii="Garamond" w:hAnsi="Garamond"/>
        <w:b/>
        <w:bCs/>
      </w:rPr>
      <w:tab/>
    </w:r>
  </w:p>
  <w:p w:rsidR="002700AC" w:rsidP="00AB58DC">
    <w:pPr>
      <w:tabs>
        <w:tab w:val="center" w:pos="4320"/>
        <w:tab w:val="right" w:pos="8640"/>
      </w:tabs>
      <w:jc w:val="center"/>
      <w:rPr>
        <w:rFonts w:ascii="Garamond" w:hAnsi="Garamond"/>
        <w:b/>
        <w:bCs/>
        <w:sz w:val="32"/>
      </w:rPr>
    </w:pPr>
  </w:p>
  <w:p w:rsidR="00D749F4" w:rsidP="00AB58DC">
    <w:pPr>
      <w:tabs>
        <w:tab w:val="center" w:pos="4320"/>
        <w:tab w:val="right" w:pos="8640"/>
      </w:tabs>
      <w:jc w:val="center"/>
      <w:rPr>
        <w:rFonts w:ascii="Garamond" w:hAnsi="Garamond"/>
        <w:b/>
        <w:bCs/>
        <w:sz w:val="32"/>
      </w:rPr>
    </w:pPr>
    <w:r>
      <w:rPr>
        <w:rFonts w:ascii="Garamond" w:hAnsi="Garamond"/>
        <w:b/>
        <w:bCs/>
        <w:sz w:val="32"/>
      </w:rPr>
      <w:t>CE</w:t>
    </w:r>
    <w:r w:rsidRPr="00ED51A8" w:rsidR="00ED51A8">
      <w:rPr>
        <w:rFonts w:ascii="Garamond" w:hAnsi="Garamond"/>
        <w:b/>
        <w:bCs/>
        <w:sz w:val="32"/>
      </w:rPr>
      <w:t xml:space="preserve"> POSTING</w:t>
    </w:r>
  </w:p>
  <w:p w:rsidR="00AB58DC" w:rsidRPr="00ED51A8" w:rsidP="00AB58DC">
    <w:pPr>
      <w:tabs>
        <w:tab w:val="center" w:pos="4320"/>
        <w:tab w:val="right" w:pos="8640"/>
      </w:tabs>
      <w:jc w:val="center"/>
      <w:rPr>
        <w:rFonts w:ascii="Garamond" w:hAnsi="Garamond"/>
        <w:b/>
        <w:bC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52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height:11in;margin-left:0;margin-top:0;mso-height-percent:0;mso-position-horizontal:center;mso-position-horizontal-relative:margin;mso-position-vertical:center;mso-position-vertical-relative:margin;mso-width-percent:0;mso-wrap-edited:f;position:absolute;width:612pt;z-index:-251656192" wrapcoords="-26 0 -26 21559 21600 21559 21600 0 -26 0">
          <v:imagedata r:id="rId1" o:title="NCHElectronic LetterheadRGB"/>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29926E3"/>
    <w:multiLevelType w:val="hybridMultilevel"/>
    <w:tmpl w:val="370E5DE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47873BE"/>
    <w:multiLevelType w:val="hybridMultilevel"/>
    <w:tmpl w:val="9536AC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AE469A3"/>
    <w:multiLevelType w:val="hybridMultilevel"/>
    <w:tmpl w:val="C7AA6622"/>
    <w:lvl w:ilvl="0">
      <w:start w:val="0"/>
      <w:numFmt w:val="bullet"/>
      <w:lvlText w:val="-"/>
      <w:lvlJc w:val="left"/>
      <w:pPr>
        <w:ind w:left="780" w:hanging="360"/>
      </w:pPr>
      <w:rPr>
        <w:rFonts w:ascii="Garamond" w:hAnsi="Garamond" w:eastAsiaTheme="minorEastAsia" w:cstheme="minorBidi" w:hint="default"/>
      </w:rPr>
    </w:lvl>
    <w:lvl w:ilvl="1" w:tentative="1">
      <w:start w:val="1"/>
      <w:numFmt w:val="bullet"/>
      <w:lvlText w:val="o"/>
      <w:lvlJc w:val="left"/>
      <w:pPr>
        <w:ind w:left="1500" w:hanging="360"/>
      </w:pPr>
      <w:rPr>
        <w:rFonts w:ascii="Courier New" w:hAnsi="Courier New" w:cs="Courier New"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abstractNum w:abstractNumId="3">
    <w:nsid w:val="3BF612D0"/>
    <w:multiLevelType w:val="hybridMultilevel"/>
    <w:tmpl w:val="B57624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3E2726CF"/>
    <w:multiLevelType w:val="hybridMultilevel"/>
    <w:tmpl w:val="046C1C5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4BAB2689"/>
    <w:multiLevelType w:val="hybridMultilevel"/>
    <w:tmpl w:val="3F7E476A"/>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6">
    <w:nsid w:val="625761E8"/>
    <w:multiLevelType w:val="hybridMultilevel"/>
    <w:tmpl w:val="CFF46E6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6C583C1B"/>
    <w:multiLevelType w:val="hybridMultilevel"/>
    <w:tmpl w:val="29E6C146"/>
    <w:lvl w:ilvl="0">
      <w:start w:val="1"/>
      <w:numFmt w:val="decimal"/>
      <w:lvlText w:val="%1."/>
      <w:lvlJc w:val="left"/>
      <w:pPr>
        <w:tabs>
          <w:tab w:val="num" w:pos="360"/>
        </w:tabs>
        <w:ind w:left="360" w:hanging="360"/>
      </w:pPr>
      <w:rPr>
        <w:rFonts w:hint="default"/>
      </w:rPr>
    </w:lvl>
    <w:lvl w:ilvl="1" w:tentative="1">
      <w:start w:val="1"/>
      <w:numFmt w:val="bullet"/>
      <w:lvlText w:val="•"/>
      <w:lvlJc w:val="left"/>
      <w:pPr>
        <w:tabs>
          <w:tab w:val="num" w:pos="1080"/>
        </w:tabs>
        <w:ind w:left="1080" w:hanging="360"/>
      </w:pPr>
      <w:rPr>
        <w:rFonts w:ascii="Arial" w:hAnsi="Arial" w:hint="default"/>
      </w:rPr>
    </w:lvl>
    <w:lvl w:ilvl="2" w:tentative="1">
      <w:start w:val="1"/>
      <w:numFmt w:val="bullet"/>
      <w:lvlText w:val="•"/>
      <w:lvlJc w:val="left"/>
      <w:pPr>
        <w:tabs>
          <w:tab w:val="num" w:pos="1800"/>
        </w:tabs>
        <w:ind w:left="1800" w:hanging="360"/>
      </w:pPr>
      <w:rPr>
        <w:rFonts w:ascii="Arial" w:hAnsi="Arial" w:hint="default"/>
      </w:rPr>
    </w:lvl>
    <w:lvl w:ilvl="3" w:tentative="1">
      <w:start w:val="1"/>
      <w:numFmt w:val="bullet"/>
      <w:lvlText w:val="•"/>
      <w:lvlJc w:val="left"/>
      <w:pPr>
        <w:tabs>
          <w:tab w:val="num" w:pos="2520"/>
        </w:tabs>
        <w:ind w:left="2520" w:hanging="360"/>
      </w:pPr>
      <w:rPr>
        <w:rFonts w:ascii="Arial" w:hAnsi="Arial" w:hint="default"/>
      </w:rPr>
    </w:lvl>
    <w:lvl w:ilvl="4" w:tentative="1">
      <w:start w:val="1"/>
      <w:numFmt w:val="bullet"/>
      <w:lvlText w:val="•"/>
      <w:lvlJc w:val="left"/>
      <w:pPr>
        <w:tabs>
          <w:tab w:val="num" w:pos="3240"/>
        </w:tabs>
        <w:ind w:left="3240" w:hanging="360"/>
      </w:pPr>
      <w:rPr>
        <w:rFonts w:ascii="Arial" w:hAnsi="Arial" w:hint="default"/>
      </w:rPr>
    </w:lvl>
    <w:lvl w:ilvl="5" w:tentative="1">
      <w:start w:val="1"/>
      <w:numFmt w:val="bullet"/>
      <w:lvlText w:val="•"/>
      <w:lvlJc w:val="left"/>
      <w:pPr>
        <w:tabs>
          <w:tab w:val="num" w:pos="3960"/>
        </w:tabs>
        <w:ind w:left="3960" w:hanging="360"/>
      </w:pPr>
      <w:rPr>
        <w:rFonts w:ascii="Arial" w:hAnsi="Arial" w:hint="default"/>
      </w:rPr>
    </w:lvl>
    <w:lvl w:ilvl="6" w:tentative="1">
      <w:start w:val="1"/>
      <w:numFmt w:val="bullet"/>
      <w:lvlText w:val="•"/>
      <w:lvlJc w:val="left"/>
      <w:pPr>
        <w:tabs>
          <w:tab w:val="num" w:pos="4680"/>
        </w:tabs>
        <w:ind w:left="4680" w:hanging="360"/>
      </w:pPr>
      <w:rPr>
        <w:rFonts w:ascii="Arial" w:hAnsi="Arial" w:hint="default"/>
      </w:rPr>
    </w:lvl>
    <w:lvl w:ilvl="7" w:tentative="1">
      <w:start w:val="1"/>
      <w:numFmt w:val="bullet"/>
      <w:lvlText w:val="•"/>
      <w:lvlJc w:val="left"/>
      <w:pPr>
        <w:tabs>
          <w:tab w:val="num" w:pos="5400"/>
        </w:tabs>
        <w:ind w:left="5400" w:hanging="360"/>
      </w:pPr>
      <w:rPr>
        <w:rFonts w:ascii="Arial" w:hAnsi="Arial" w:hint="default"/>
      </w:rPr>
    </w:lvl>
    <w:lvl w:ilvl="8" w:tentative="1">
      <w:start w:val="1"/>
      <w:numFmt w:val="bullet"/>
      <w:lvlText w:val="•"/>
      <w:lvlJc w:val="left"/>
      <w:pPr>
        <w:tabs>
          <w:tab w:val="num" w:pos="6120"/>
        </w:tabs>
        <w:ind w:left="6120" w:hanging="360"/>
      </w:pPr>
      <w:rPr>
        <w:rFonts w:ascii="Arial" w:hAnsi="Arial" w:hint="default"/>
      </w:rPr>
    </w:lvl>
  </w:abstractNum>
  <w:abstractNum w:abstractNumId="8">
    <w:nsid w:val="71521D01"/>
    <w:multiLevelType w:val="hybridMultilevel"/>
    <w:tmpl w:val="CAB64038"/>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9">
    <w:nsid w:val="7BE0057E"/>
    <w:multiLevelType w:val="hybridMultilevel"/>
    <w:tmpl w:val="C97C36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5"/>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4"/>
  </w:num>
  <w:num w:numId="7">
    <w:abstractNumId w:val="2"/>
  </w:num>
  <w:num w:numId="8">
    <w:abstractNumId w:val="1"/>
  </w:num>
  <w:num w:numId="9">
    <w:abstractNumId w:val="0"/>
  </w:num>
  <w:num w:numId="10">
    <w:abstractNumId w:val="6"/>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smallFrac/>
    <m:wrapRight/>
    <m:naryLim m:val="subSup"/>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2515"/>
    <w:pPr>
      <w:tabs>
        <w:tab w:val="center" w:pos="4320"/>
        <w:tab w:val="right" w:pos="8640"/>
      </w:tabs>
    </w:pPr>
  </w:style>
  <w:style w:type="character" w:customStyle="1" w:styleId="HeaderChar">
    <w:name w:val="Header Char"/>
    <w:basedOn w:val="DefaultParagraphFont"/>
    <w:link w:val="Header"/>
    <w:uiPriority w:val="99"/>
    <w:rsid w:val="00BE2515"/>
  </w:style>
  <w:style w:type="paragraph" w:styleId="Footer">
    <w:name w:val="footer"/>
    <w:basedOn w:val="Normal"/>
    <w:link w:val="FooterChar"/>
    <w:uiPriority w:val="99"/>
    <w:unhideWhenUsed/>
    <w:rsid w:val="00BE2515"/>
    <w:pPr>
      <w:tabs>
        <w:tab w:val="center" w:pos="4320"/>
        <w:tab w:val="right" w:pos="8640"/>
      </w:tabs>
    </w:pPr>
  </w:style>
  <w:style w:type="character" w:customStyle="1" w:styleId="FooterChar">
    <w:name w:val="Footer Char"/>
    <w:basedOn w:val="DefaultParagraphFont"/>
    <w:link w:val="Footer"/>
    <w:uiPriority w:val="99"/>
    <w:rsid w:val="00BE2515"/>
  </w:style>
  <w:style w:type="paragraph" w:styleId="BalloonText">
    <w:name w:val="Balloon Text"/>
    <w:basedOn w:val="Normal"/>
    <w:link w:val="BalloonTextChar"/>
    <w:uiPriority w:val="99"/>
    <w:semiHidden/>
    <w:unhideWhenUsed/>
    <w:rsid w:val="00BE2515"/>
    <w:rPr>
      <w:rFonts w:ascii="Lucida Grande" w:hAnsi="Lucida Grande"/>
      <w:sz w:val="18"/>
      <w:szCs w:val="18"/>
    </w:rPr>
  </w:style>
  <w:style w:type="character" w:customStyle="1" w:styleId="BalloonTextChar">
    <w:name w:val="Balloon Text Char"/>
    <w:basedOn w:val="DefaultParagraphFont"/>
    <w:link w:val="BalloonText"/>
    <w:uiPriority w:val="99"/>
    <w:semiHidden/>
    <w:rsid w:val="00BE2515"/>
    <w:rPr>
      <w:rFonts w:ascii="Lucida Grande" w:hAnsi="Lucida Grande"/>
      <w:sz w:val="18"/>
      <w:szCs w:val="18"/>
    </w:rPr>
  </w:style>
  <w:style w:type="paragraph" w:styleId="ListParagraph">
    <w:name w:val="List Paragraph"/>
    <w:basedOn w:val="Normal"/>
    <w:uiPriority w:val="34"/>
    <w:qFormat/>
    <w:rsid w:val="00C934F0"/>
    <w:pPr>
      <w:ind w:left="720"/>
    </w:pPr>
    <w:rPr>
      <w:rFonts w:ascii="Calibri" w:hAnsi="Calibri" w:eastAsiaTheme="minorHAnsi" w:cs="Times New Roman"/>
      <w:sz w:val="22"/>
      <w:szCs w:val="22"/>
    </w:rPr>
  </w:style>
  <w:style w:type="paragraph" w:styleId="NormalWeb">
    <w:name w:val="Normal (Web)"/>
    <w:basedOn w:val="Normal"/>
    <w:uiPriority w:val="99"/>
    <w:unhideWhenUsed/>
    <w:rsid w:val="00EA24D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media/image5.png" /><Relationship Id="rId12" Type="http://schemas.openxmlformats.org/officeDocument/2006/relationships/image" Target="media/image6.png" /><Relationship Id="rId13" Type="http://schemas.openxmlformats.org/officeDocument/2006/relationships/image" Target="media/image7.png" /><Relationship Id="rId14" Type="http://schemas.openxmlformats.org/officeDocument/2006/relationships/image" Target="media/image8.png" /><Relationship Id="rId15" Type="http://schemas.openxmlformats.org/officeDocument/2006/relationships/image" Target="media/image9.png" /><Relationship Id="rId16" Type="http://schemas.openxmlformats.org/officeDocument/2006/relationships/header" Target="header1.xml" /><Relationship Id="rId17" Type="http://schemas.openxmlformats.org/officeDocument/2006/relationships/header" Target="header2.xml" /><Relationship Id="rId18" Type="http://schemas.openxmlformats.org/officeDocument/2006/relationships/footer" Target="footer1.xml"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image" Target="media/image2.jpeg" /><Relationship Id="rId9"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10.jpeg" /></Relationships>
</file>

<file path=word/_rels/header2.xml.rels>&#65279;<?xml version="1.0" encoding="utf-8" standalone="yes"?><Relationships xmlns="http://schemas.openxmlformats.org/package/2006/relationships"><Relationship Id="rId1" Type="http://schemas.openxmlformats.org/officeDocument/2006/relationships/image" Target="media/image10.jpeg" /></Relationships>
</file>

<file path=word/_rels/header3.xml.rels>&#65279;<?xml version="1.0" encoding="utf-8" standalone="yes"?><Relationships xmlns="http://schemas.openxmlformats.org/package/2006/relationships"><Relationship Id="rId1" Type="http://schemas.openxmlformats.org/officeDocument/2006/relationships/image" Target="media/image10.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D4302F9FF6DA04EB9F8E6364B310F1E" ma:contentTypeVersion="0" ma:contentTypeDescription="Create a new document." ma:contentTypeScope="" ma:versionID="e187ffc1a66c5f31687104cf70f46c1e">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4E57DF-06C9-4AE3-BA8F-9764241A370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D5FCFB3-527D-4169-8C3D-3B1A191B3C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7A52706-CE73-48B7-BBED-C9E1003004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1250</Words>
  <Characters>7127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Nationwide Children's Hospital</Company>
  <LinksUpToDate>false</LinksUpToDate>
  <CharactersWithSpaces>8361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Garbrandt</dc:creator>
  <cp:lastModifiedBy>Tyler Browne</cp:lastModifiedBy>
  <cp:revision>2</cp:revision>
  <cp:lastPrinted>2017-09-26T17:04:00Z</cp:lastPrinted>
  <dcterms:created xsi:type="dcterms:W3CDTF">2022-06-14T15:30:00Z</dcterms:created>
  <dcterms:modified xsi:type="dcterms:W3CDTF">2022-06-14T15:30:00Z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0x0101000D4302F9FF6DA04EB9F8E6364B310F1E</vt:lpwstr>
  </property>
</Properties>
</file>