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30721</w:instrText>
      </w:r>
      <w:r>
        <w:rPr>
          <w:rFonts w:ascii="Garamond" w:hAnsi="Garamond"/>
          <w:bCs/>
        </w:rPr>
        <w:instrText xml:space="preserve"> &lt;&gt; "" "</w:instrText>
      </w:r>
      <w:r>
        <w:rPr>
          <w:rFonts w:ascii="Garamond" w:hAnsi="Garamond"/>
          <w:bCs/>
        </w:rPr>
        <w:instrText>APP Lunch &amp; Learn Enduring Series</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APP Lunch &amp; Learn Enduring Series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12,</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30721</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APP Lunch and Learn Enduring: Pediatric ENT: Common Problems and Updated Guidelines</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APP Lunch and Learn Enduring: Pediatric ENT: Common Problems and Updated Guidelines</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Lind,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A Tolman,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Evaluate common pediatric ENT conditions and consider indications for referral.</w:instrText>
      </w:r>
    </w:p>
    <w:p w:rsidR="004777F1">
      <w:pPr>
        <w:bidi w:val="0"/>
        <w:spacing w:after="280" w:afterAutospacing="1"/>
        <w:rPr>
          <w:rFonts w:ascii="Garamond" w:hAnsi="Garamond"/>
          <w:sz w:val="22"/>
          <w:szCs w:val="22"/>
        </w:rPr>
      </w:pPr>
      <w:r>
        <w:rPr>
          <w:rFonts w:ascii="Garamond" w:hAnsi="Garamond"/>
          <w:sz w:val="22"/>
          <w:szCs w:val="22"/>
        </w:rPr>
        <w:instrText xml:space="preserve">2 Apply the most updated clinical practice guidelines for pediatric Otolaryngology conditions in your practice. </w:instrText>
      </w:r>
    </w:p>
    <w:p w:rsidR="004777F1">
      <w:pPr>
        <w:bidi w:val="0"/>
        <w:spacing w:after="280" w:afterAutospacing="1"/>
        <w:rPr>
          <w:rFonts w:ascii="Garamond" w:hAnsi="Garamond"/>
          <w:sz w:val="22"/>
          <w:szCs w:val="22"/>
        </w:rPr>
      </w:pPr>
      <w:r>
        <w:rPr>
          <w:rFonts w:ascii="Garamond" w:hAnsi="Garamond"/>
          <w:sz w:val="22"/>
          <w:szCs w:val="22"/>
        </w:rPr>
        <w:instrText>3 Recognize potential complications of common conditions and determine the best management when complications develop.</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Evaluate common pediatric ENT conditions and consider indications for referral.</w:instrText>
      </w:r>
    </w:p>
    <w:p w:rsidP="004777F1">
      <w:pPr>
        <w:ind w:left="540" w:hanging="180"/>
        <w:rPr>
          <w:rFonts w:ascii="Garamond" w:hAnsi="Garamond"/>
          <w:sz w:val="22"/>
          <w:szCs w:val="22"/>
        </w:rPr>
      </w:pPr>
      <w:r>
        <w:rPr>
          <w:rFonts w:ascii="Garamond" w:hAnsi="Garamond"/>
          <w:sz w:val="22"/>
          <w:szCs w:val="22"/>
        </w:rPr>
        <w:instrText xml:space="preserve">2 Apply the most updated clinical practice guidelines for pediatric Otolaryngology conditions in your practice. </w:instrText>
      </w:r>
    </w:p>
    <w:p w:rsidP="004777F1">
      <w:pPr>
        <w:ind w:left="540" w:hanging="180"/>
        <w:rPr>
          <w:rFonts w:ascii="Garamond" w:hAnsi="Garamond"/>
          <w:sz w:val="22"/>
          <w:szCs w:val="22"/>
        </w:rPr>
      </w:pPr>
      <w:r>
        <w:rPr>
          <w:rFonts w:ascii="Garamond" w:hAnsi="Garamond"/>
          <w:sz w:val="22"/>
          <w:szCs w:val="22"/>
        </w:rPr>
        <w:instrText>3 Recognize potential complications of common conditions and determine the best management when complications develop.</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Evaluate common pediatric ENT conditions and consider indications for referral.</w:t>
      </w:r>
    </w:p>
    <w:p w:rsidP="004777F1">
      <w:pPr>
        <w:ind w:left="540" w:hanging="180"/>
        <w:rPr>
          <w:rFonts w:ascii="Garamond" w:hAnsi="Garamond"/>
          <w:sz w:val="22"/>
          <w:szCs w:val="22"/>
        </w:rPr>
      </w:pPr>
      <w:r>
        <w:rPr>
          <w:rFonts w:ascii="Garamond" w:hAnsi="Garamond"/>
          <w:sz w:val="22"/>
          <w:szCs w:val="22"/>
        </w:rPr>
        <w:t xml:space="preserve">2 Apply the most updated clinical practice guidelines for pediatric Otolaryngology conditions in your practice. </w:t>
      </w:r>
    </w:p>
    <w:p w:rsidR="004777F1" w:rsidP="004777F1">
      <w:pPr>
        <w:ind w:left="540" w:hanging="180"/>
        <w:rPr>
          <w:rFonts w:ascii="Garamond" w:hAnsi="Garamond"/>
          <w:sz w:val="22"/>
          <w:szCs w:val="22"/>
        </w:rPr>
      </w:pPr>
      <w:r>
        <w:rPr>
          <w:rFonts w:ascii="Garamond" w:hAnsi="Garamond"/>
          <w:sz w:val="22"/>
          <w:szCs w:val="22"/>
        </w:rPr>
        <w:t>3 Recognize potential complications of common conditions and determine the best management when complications develop.</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04130166"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