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2025 Behavioral Health Webinar for Primary Care Series On Demand: Taming Little Lions: Treatment Options for Irritability, Aggression, and Outbursts (#43900)</w:instrText>
      </w:r>
      <w:r>
        <w:rPr>
          <w:rFonts w:ascii="Garamond" w:hAnsi="Garamond"/>
          <w:bCs/>
        </w:rPr>
        <w:instrText xml:space="preserve">" </w:instrText>
      </w:r>
      <w:r>
        <w:rPr>
          <w:rFonts w:ascii="Garamond" w:hAnsi="Garamond"/>
          <w:bCs/>
        </w:rPr>
        <w:fldChar w:fldCharType="separate"/>
      </w:r>
      <w:r>
        <w:rPr>
          <w:rFonts w:ascii="Garamond" w:hAnsi="Garamond"/>
          <w:bCs/>
        </w:rPr>
        <w:t>2025 Behavioral Health Webinar for Primary Care Series On Demand: Taming Little Lions: Treatment Options for Irritability, Aggression, and Outbursts (#43900)</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April 10,</w:t>
      </w:r>
      <w:r>
        <w:rPr>
          <w:rFonts w:ascii="Garamond" w:hAnsi="Garamond"/>
          <w:bCs/>
        </w:rPr>
        <w:t xml:space="preserve"> 2025 - 9:00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Kristina Jiner,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Tracie King, liaison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Shelley Sheppard, PMHNP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DePoy, LISW-S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Long,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H Thornton,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Golla,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Katelin R Tolbert, EFDA, Educator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Adams,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0 Distinguish among the causes &amp; determine how to identify which is the cause for your patient.</w:instrText>
      </w:r>
    </w:p>
    <w:p w:rsidR="004777F1">
      <w:pPr>
        <w:bidi w:val="0"/>
        <w:spacing w:after="280" w:afterAutospacing="1"/>
        <w:rPr>
          <w:rFonts w:ascii="Garamond" w:hAnsi="Garamond"/>
          <w:sz w:val="22"/>
          <w:szCs w:val="22"/>
        </w:rPr>
      </w:pPr>
      <w:r>
        <w:rPr>
          <w:rFonts w:ascii="Garamond" w:hAnsi="Garamond"/>
          <w:sz w:val="22"/>
          <w:szCs w:val="22"/>
        </w:rPr>
        <w:instrText>1 Specify pharmacologic interventions based on the identified cause</w:instrText>
      </w:r>
    </w:p>
    <w:p w:rsidR="004777F1">
      <w:pPr>
        <w:bidi w:val="0"/>
        <w:spacing w:after="280" w:afterAutospacing="1"/>
        <w:rPr>
          <w:rFonts w:ascii="Garamond" w:hAnsi="Garamond"/>
          <w:sz w:val="22"/>
          <w:szCs w:val="22"/>
        </w:rPr>
      </w:pPr>
      <w:r>
        <w:rPr>
          <w:rFonts w:ascii="Garamond" w:hAnsi="Garamond"/>
          <w:sz w:val="22"/>
          <w:szCs w:val="22"/>
        </w:rPr>
        <w:instrText>2 Name nonpharmacologic interventions</w:instrText>
      </w:r>
    </w:p>
    <w:p w:rsidR="004777F1">
      <w:pPr>
        <w:bidi w:val="0"/>
        <w:spacing w:after="280" w:afterAutospacing="1"/>
        <w:rPr>
          <w:rFonts w:ascii="Garamond" w:hAnsi="Garamond"/>
          <w:sz w:val="22"/>
          <w:szCs w:val="22"/>
        </w:rPr>
      </w:pPr>
      <w:r>
        <w:rPr>
          <w:rFonts w:ascii="Garamond" w:hAnsi="Garamond"/>
          <w:sz w:val="22"/>
          <w:szCs w:val="22"/>
        </w:rPr>
        <w:instrText>3 Identify when and how to contact child psychiatry</w:instrText>
      </w:r>
    </w:p>
    <w:p w:rsidR="004777F1">
      <w:pPr>
        <w:bidi w:val="0"/>
        <w:spacing w:after="280" w:afterAutospacing="1"/>
        <w:rPr>
          <w:rFonts w:ascii="Garamond" w:hAnsi="Garamond"/>
          <w:sz w:val="22"/>
          <w:szCs w:val="22"/>
        </w:rPr>
      </w:pPr>
      <w:r>
        <w:rPr>
          <w:rFonts w:ascii="Garamond" w:hAnsi="Garamond"/>
          <w:sz w:val="22"/>
          <w:szCs w:val="22"/>
        </w:rPr>
        <w:instrText>4 Utilize strategies to improve communication among the healthcare team.</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0 Distinguish among the causes &amp; determine how to identify which is the cause for your patient.</w:instrText>
      </w:r>
    </w:p>
    <w:p w:rsidP="004777F1">
      <w:pPr>
        <w:ind w:left="540" w:hanging="180"/>
        <w:rPr>
          <w:rFonts w:ascii="Garamond" w:hAnsi="Garamond"/>
          <w:sz w:val="22"/>
          <w:szCs w:val="22"/>
        </w:rPr>
      </w:pPr>
      <w:r>
        <w:rPr>
          <w:rFonts w:ascii="Garamond" w:hAnsi="Garamond"/>
          <w:sz w:val="22"/>
          <w:szCs w:val="22"/>
        </w:rPr>
        <w:instrText>1 Specify pharmacologic interventions based on the identified cause</w:instrText>
      </w:r>
    </w:p>
    <w:p w:rsidP="004777F1">
      <w:pPr>
        <w:ind w:left="540" w:hanging="180"/>
        <w:rPr>
          <w:rFonts w:ascii="Garamond" w:hAnsi="Garamond"/>
          <w:sz w:val="22"/>
          <w:szCs w:val="22"/>
        </w:rPr>
      </w:pPr>
      <w:r>
        <w:rPr>
          <w:rFonts w:ascii="Garamond" w:hAnsi="Garamond"/>
          <w:sz w:val="22"/>
          <w:szCs w:val="22"/>
        </w:rPr>
        <w:instrText>2 Name nonpharmacologic interventions</w:instrText>
      </w:r>
    </w:p>
    <w:p w:rsidP="004777F1">
      <w:pPr>
        <w:ind w:left="540" w:hanging="180"/>
        <w:rPr>
          <w:rFonts w:ascii="Garamond" w:hAnsi="Garamond"/>
          <w:sz w:val="22"/>
          <w:szCs w:val="22"/>
        </w:rPr>
      </w:pPr>
      <w:r>
        <w:rPr>
          <w:rFonts w:ascii="Garamond" w:hAnsi="Garamond"/>
          <w:sz w:val="22"/>
          <w:szCs w:val="22"/>
        </w:rPr>
        <w:instrText>3 Identify when and how to contact child psychiatry</w:instrText>
      </w:r>
    </w:p>
    <w:p w:rsidP="004777F1">
      <w:pPr>
        <w:ind w:left="540" w:hanging="180"/>
        <w:rPr>
          <w:rFonts w:ascii="Garamond" w:hAnsi="Garamond"/>
          <w:sz w:val="22"/>
          <w:szCs w:val="22"/>
        </w:rPr>
      </w:pPr>
      <w:r>
        <w:rPr>
          <w:rFonts w:ascii="Garamond" w:hAnsi="Garamond"/>
          <w:sz w:val="22"/>
          <w:szCs w:val="22"/>
        </w:rPr>
        <w:instrText>4 Utilize strategies to improve communication among the healthcare team.</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0 Distinguish among the causes &amp; determine how to identify which is the cause for your patient.</w:t>
      </w:r>
    </w:p>
    <w:p w:rsidP="004777F1">
      <w:pPr>
        <w:ind w:left="540" w:hanging="180"/>
        <w:rPr>
          <w:rFonts w:ascii="Garamond" w:hAnsi="Garamond"/>
          <w:sz w:val="22"/>
          <w:szCs w:val="22"/>
        </w:rPr>
      </w:pPr>
      <w:r>
        <w:rPr>
          <w:rFonts w:ascii="Garamond" w:hAnsi="Garamond"/>
          <w:sz w:val="22"/>
          <w:szCs w:val="22"/>
        </w:rPr>
        <w:t>1 Specify pharmacologic interventions based on the identified cause</w:t>
      </w:r>
    </w:p>
    <w:p w:rsidP="004777F1">
      <w:pPr>
        <w:ind w:left="540" w:hanging="180"/>
        <w:rPr>
          <w:rFonts w:ascii="Garamond" w:hAnsi="Garamond"/>
          <w:sz w:val="22"/>
          <w:szCs w:val="22"/>
        </w:rPr>
      </w:pPr>
      <w:r>
        <w:rPr>
          <w:rFonts w:ascii="Garamond" w:hAnsi="Garamond"/>
          <w:sz w:val="22"/>
          <w:szCs w:val="22"/>
        </w:rPr>
        <w:t>2 Name nonpharmacologic interventions</w:t>
      </w:r>
    </w:p>
    <w:p w:rsidP="004777F1">
      <w:pPr>
        <w:ind w:left="540" w:hanging="180"/>
        <w:rPr>
          <w:rFonts w:ascii="Garamond" w:hAnsi="Garamond"/>
          <w:sz w:val="22"/>
          <w:szCs w:val="22"/>
        </w:rPr>
      </w:pPr>
      <w:r>
        <w:rPr>
          <w:rFonts w:ascii="Garamond" w:hAnsi="Garamond"/>
          <w:sz w:val="22"/>
          <w:szCs w:val="22"/>
        </w:rPr>
        <w:t>3 Identify when and how to contact child psychiatry</w:t>
      </w:r>
    </w:p>
    <w:p w:rsidR="004777F1" w:rsidP="004777F1">
      <w:pPr>
        <w:ind w:left="540" w:hanging="180"/>
        <w:rPr>
          <w:rFonts w:ascii="Garamond" w:hAnsi="Garamond"/>
          <w:sz w:val="22"/>
          <w:szCs w:val="22"/>
        </w:rPr>
      </w:pPr>
      <w:r>
        <w:rPr>
          <w:rFonts w:ascii="Garamond" w:hAnsi="Garamond"/>
          <w:sz w:val="22"/>
          <w:szCs w:val="22"/>
        </w:rPr>
        <w:t>4 Utilize strategies to improve communication among the healthcare team.</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7155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313781521"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238080669"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2048766053"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488241274"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t>Nationwide Children's Hospital is an ADA CERP Recognized Provider. ADA CERP is a service of the American Dental Association to assist dental professionals in identifying quality providers of continuing dental education. ADA CERP does not approve or endorse</w:t>
      </w:r>
      <w:r w:rsidRPr="00207F0D">
        <w:rPr>
          <w:rFonts w:asciiTheme="minorHAnsi" w:hAnsiTheme="minorHAnsi"/>
        </w:rPr>
        <w:t xml:space="preserve"> </w:t>
      </w:r>
      <w:r w:rsidRPr="00207F0D">
        <w:rPr>
          <w:rFonts w:asciiTheme="minorHAnsi" w:hAnsiTheme="minorHAnsi"/>
          <w:noProof/>
          <w:sz w:val="20"/>
          <w:szCs w:val="20"/>
        </w:rPr>
        <w: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2074643914"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t xml:space="preserve">Nationwide Children’s Hospital (BOC AP#: P3772) is approved by the Board of Certification, Inc. to provide continuing education to Athletic Trainers (ATs). This program is eligible for a maximum of </w:t>
      </w:r>
      <w:r w:rsidRPr="00207F0D">
        <w:rPr>
          <w:rFonts w:asciiTheme="minorHAnsi" w:hAnsiTheme="minorHAnsi"/>
          <w:noProof/>
          <w:sz w:val="20"/>
          <w:szCs w:val="20"/>
        </w:rPr>
        <w:t>1.00</w:t>
      </w:r>
      <w:r w:rsidRPr="00207F0D">
        <w:rPr>
          <w:rFonts w:asciiTheme="minorHAnsi" w:hAnsiTheme="minorHAnsi"/>
          <w:noProof/>
          <w:sz w:val="20"/>
          <w:szCs w:val="20"/>
        </w:rPr>
        <w:t xml:space="preserve"> Category A hours/CEUs. ATs should claim only those hours actually spent in the educational program.</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