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2025 Behavioral Health Webinar for Primary Care Series On Demand: Beyond the ADOS: An overview of best practices and possible measures for screening and assessment of Autism Spectrum Disorder (#43651)</w:instrText>
      </w:r>
      <w:r>
        <w:rPr>
          <w:rFonts w:ascii="Garamond" w:hAnsi="Garamond"/>
          <w:bCs/>
        </w:rPr>
        <w:instrText xml:space="preserve">" </w:instrText>
      </w:r>
      <w:r>
        <w:rPr>
          <w:rFonts w:ascii="Garamond" w:hAnsi="Garamond"/>
          <w:bCs/>
        </w:rPr>
        <w:fldChar w:fldCharType="separate"/>
      </w:r>
      <w:r>
        <w:rPr>
          <w:rFonts w:ascii="Garamond" w:hAnsi="Garamond"/>
          <w:bCs/>
        </w:rPr>
        <w:t>2025 Behavioral Health Webinar for Primary Care Series On Demand: Beyond the ADOS: An overview of best practices and possible measures for screening and assessment of Autism Spectrum Disorder (#43651)</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14,</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Kryszak,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Identify necessary components of an Autism evaluation</w:instrText>
      </w:r>
    </w:p>
    <w:p w:rsidR="004777F1">
      <w:pPr>
        <w:bidi w:val="0"/>
        <w:spacing w:after="280" w:afterAutospacing="1"/>
        <w:rPr>
          <w:rFonts w:ascii="Garamond" w:hAnsi="Garamond"/>
          <w:sz w:val="22"/>
          <w:szCs w:val="22"/>
        </w:rPr>
      </w:pPr>
      <w:r>
        <w:rPr>
          <w:rFonts w:ascii="Garamond" w:hAnsi="Garamond"/>
          <w:sz w:val="22"/>
          <w:szCs w:val="22"/>
        </w:rPr>
        <w:instrText>2 Discuss why multiple assessment pathways are needed to increase access to Autism evaluation services</w:instrText>
      </w:r>
    </w:p>
    <w:p w:rsidR="004777F1">
      <w:pPr>
        <w:bidi w:val="0"/>
        <w:spacing w:after="280" w:afterAutospacing="1"/>
        <w:rPr>
          <w:rFonts w:ascii="Garamond" w:hAnsi="Garamond"/>
          <w:sz w:val="22"/>
          <w:szCs w:val="22"/>
        </w:rPr>
      </w:pPr>
      <w:r>
        <w:rPr>
          <w:rFonts w:ascii="Garamond" w:hAnsi="Garamond"/>
          <w:sz w:val="22"/>
          <w:szCs w:val="22"/>
        </w:rPr>
        <w:instrText xml:space="preserve">3 Compare different measures for assessing Autism symptoms and discuss why a particular measure might be chosen for a specific context </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Identify necessary components of an Autism evaluation</w:instrText>
      </w:r>
    </w:p>
    <w:p w:rsidP="004777F1">
      <w:pPr>
        <w:ind w:left="540" w:hanging="180"/>
        <w:rPr>
          <w:rFonts w:ascii="Garamond" w:hAnsi="Garamond"/>
          <w:sz w:val="22"/>
          <w:szCs w:val="22"/>
        </w:rPr>
      </w:pPr>
      <w:r>
        <w:rPr>
          <w:rFonts w:ascii="Garamond" w:hAnsi="Garamond"/>
          <w:sz w:val="22"/>
          <w:szCs w:val="22"/>
        </w:rPr>
        <w:instrText>2 Discuss why multiple assessment pathways are needed to increase access to Autism evaluation services</w:instrText>
      </w:r>
    </w:p>
    <w:p w:rsidP="004777F1">
      <w:pPr>
        <w:ind w:left="540" w:hanging="180"/>
        <w:rPr>
          <w:rFonts w:ascii="Garamond" w:hAnsi="Garamond"/>
          <w:sz w:val="22"/>
          <w:szCs w:val="22"/>
        </w:rPr>
      </w:pPr>
      <w:r>
        <w:rPr>
          <w:rFonts w:ascii="Garamond" w:hAnsi="Garamond"/>
          <w:sz w:val="22"/>
          <w:szCs w:val="22"/>
        </w:rPr>
        <w:instrText xml:space="preserve">3 Compare different measures for assessing Autism symptoms and discuss why a particular measure might be chosen for a specific context </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Identify necessary components of an Autism evaluation</w:t>
      </w:r>
    </w:p>
    <w:p w:rsidP="004777F1">
      <w:pPr>
        <w:ind w:left="540" w:hanging="180"/>
        <w:rPr>
          <w:rFonts w:ascii="Garamond" w:hAnsi="Garamond"/>
          <w:sz w:val="22"/>
          <w:szCs w:val="22"/>
        </w:rPr>
      </w:pPr>
      <w:r>
        <w:rPr>
          <w:rFonts w:ascii="Garamond" w:hAnsi="Garamond"/>
          <w:sz w:val="22"/>
          <w:szCs w:val="22"/>
        </w:rPr>
        <w:t>2 Discuss why multiple assessment pathways are needed to increase access to Autism evaluation services</w:t>
      </w:r>
    </w:p>
    <w:p w:rsidP="004777F1">
      <w:pPr>
        <w:ind w:left="540" w:hanging="180"/>
        <w:rPr>
          <w:rFonts w:ascii="Garamond" w:hAnsi="Garamond"/>
          <w:sz w:val="22"/>
          <w:szCs w:val="22"/>
        </w:rPr>
      </w:pPr>
      <w:r>
        <w:rPr>
          <w:rFonts w:ascii="Garamond" w:hAnsi="Garamond"/>
          <w:sz w:val="22"/>
          <w:szCs w:val="22"/>
        </w:rPr>
        <w:t xml:space="preserve">3 Compare different measures for assessing Autism symptoms and discuss why a particular measure might be chosen for a specific context </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088737856"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88123682"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362700446"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28215463"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503495889"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