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Behavioral Health Webinar for Primary Care Series On Demand: Hold the Prescription! When it’s not ADHD (#43604)</w:instrText>
      </w:r>
      <w:r>
        <w:rPr>
          <w:rFonts w:ascii="Garamond" w:hAnsi="Garamond"/>
          <w:bCs/>
        </w:rPr>
        <w:instrText xml:space="preserve">" </w:instrText>
      </w:r>
      <w:r>
        <w:rPr>
          <w:rFonts w:ascii="Garamond" w:hAnsi="Garamond"/>
          <w:bCs/>
        </w:rPr>
        <w:fldChar w:fldCharType="separate"/>
      </w:r>
      <w:r>
        <w:rPr>
          <w:rFonts w:ascii="Garamond" w:hAnsi="Garamond"/>
          <w:bCs/>
        </w:rPr>
        <w:t>Behavioral Health Webinar for Primary Care Series On Demand: Hold the Prescription! When it’s not ADHD (#43604)</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14,</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Kristina Jiner,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Tracie King,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Shelley Sheppard, PMHNP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Reese,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DePoy,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Long,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H Thornton,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Golla,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Katelin R Tolbert, EFDA, Educator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Taylor Adams,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Name the most common diagnoses that mimic ADHD </w:instrText>
      </w:r>
    </w:p>
    <w:p w:rsidR="004777F1">
      <w:pPr>
        <w:bidi w:val="0"/>
        <w:spacing w:after="280" w:afterAutospacing="1"/>
        <w:rPr>
          <w:rFonts w:ascii="Garamond" w:hAnsi="Garamond"/>
          <w:sz w:val="22"/>
          <w:szCs w:val="22"/>
        </w:rPr>
      </w:pPr>
      <w:r>
        <w:rPr>
          <w:rFonts w:ascii="Garamond" w:hAnsi="Garamond"/>
          <w:sz w:val="22"/>
          <w:szCs w:val="22"/>
        </w:rPr>
        <w:instrText>2 Learn what questions to ask to distinguish these diagnoses from ADHD</w:instrText>
      </w:r>
    </w:p>
    <w:p w:rsidR="004777F1">
      <w:pPr>
        <w:bidi w:val="0"/>
        <w:spacing w:after="280" w:afterAutospacing="1"/>
        <w:rPr>
          <w:rFonts w:ascii="Garamond" w:hAnsi="Garamond"/>
          <w:sz w:val="22"/>
          <w:szCs w:val="22"/>
        </w:rPr>
      </w:pPr>
      <w:r>
        <w:rPr>
          <w:rFonts w:ascii="Garamond" w:hAnsi="Garamond"/>
          <w:sz w:val="22"/>
          <w:szCs w:val="22"/>
        </w:rPr>
        <w:instrText xml:space="preserve">3 In a child being treated for ADHD, identify the warning signs that another diagnosis is present and what to do next </w:instrText>
      </w:r>
    </w:p>
    <w:p w:rsidR="004777F1">
      <w:pPr>
        <w:bidi w:val="0"/>
        <w:spacing w:after="280" w:afterAutospacing="1"/>
        <w:rPr>
          <w:rFonts w:ascii="Garamond" w:hAnsi="Garamond"/>
          <w:sz w:val="22"/>
          <w:szCs w:val="22"/>
        </w:rPr>
      </w:pPr>
      <w:r>
        <w:rPr>
          <w:rFonts w:ascii="Garamond" w:hAnsi="Garamond"/>
          <w:sz w:val="22"/>
          <w:szCs w:val="22"/>
        </w:rPr>
        <w:instrText xml:space="preserve">4 Develop an initial treatment plan for the case in which ADHD and one or more other diagnoses are present or it isn’t clear what is going on. </w:instrText>
      </w:r>
    </w:p>
    <w:p w:rsidR="004777F1">
      <w:pPr>
        <w:bidi w:val="0"/>
        <w:spacing w:after="280" w:afterAutospacing="1"/>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Name the most common diagnoses that mimic ADHD </w:instrText>
      </w:r>
    </w:p>
    <w:p w:rsidP="004777F1">
      <w:pPr>
        <w:ind w:left="540" w:hanging="180"/>
        <w:rPr>
          <w:rFonts w:ascii="Garamond" w:hAnsi="Garamond"/>
          <w:sz w:val="22"/>
          <w:szCs w:val="22"/>
        </w:rPr>
      </w:pPr>
      <w:r>
        <w:rPr>
          <w:rFonts w:ascii="Garamond" w:hAnsi="Garamond"/>
          <w:sz w:val="22"/>
          <w:szCs w:val="22"/>
        </w:rPr>
        <w:instrText>2 Learn what questions to ask to distinguish these diagnoses from ADHD</w:instrText>
      </w:r>
    </w:p>
    <w:p w:rsidP="004777F1">
      <w:pPr>
        <w:ind w:left="540" w:hanging="180"/>
        <w:rPr>
          <w:rFonts w:ascii="Garamond" w:hAnsi="Garamond"/>
          <w:sz w:val="22"/>
          <w:szCs w:val="22"/>
        </w:rPr>
      </w:pPr>
      <w:r>
        <w:rPr>
          <w:rFonts w:ascii="Garamond" w:hAnsi="Garamond"/>
          <w:sz w:val="22"/>
          <w:szCs w:val="22"/>
        </w:rPr>
        <w:instrText xml:space="preserve">3 In a child being treated for ADHD, identify the warning signs that another diagnosis is present and what to do next </w:instrText>
      </w:r>
    </w:p>
    <w:p w:rsidP="004777F1">
      <w:pPr>
        <w:ind w:left="540" w:hanging="180"/>
        <w:rPr>
          <w:rFonts w:ascii="Garamond" w:hAnsi="Garamond"/>
          <w:sz w:val="22"/>
          <w:szCs w:val="22"/>
        </w:rPr>
      </w:pPr>
      <w:r>
        <w:rPr>
          <w:rFonts w:ascii="Garamond" w:hAnsi="Garamond"/>
          <w:sz w:val="22"/>
          <w:szCs w:val="22"/>
        </w:rPr>
        <w:instrText xml:space="preserve">4 Develop an initial treatment plan for the case in which ADHD and one or more other diagnoses are present or it isn’t clear what is going on. </w:instrText>
      </w:r>
    </w:p>
    <w:p w:rsidP="004777F1">
      <w:pPr>
        <w:ind w:left="540" w:hanging="180"/>
        <w:rPr>
          <w:rFonts w:ascii="Garamond" w:hAnsi="Garamond"/>
          <w:sz w:val="22"/>
          <w:szCs w:val="22"/>
        </w:rPr>
      </w:pPr>
      <w:r>
        <w:rPr>
          <w:rFonts w:ascii="Garamond" w:hAnsi="Garamond"/>
          <w:sz w:val="22"/>
          <w:szCs w:val="22"/>
        </w:rPr>
        <w:instrText>5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Name the most common diagnoses that mimic ADHD </w:t>
      </w:r>
    </w:p>
    <w:p w:rsidP="004777F1">
      <w:pPr>
        <w:ind w:left="540" w:hanging="180"/>
        <w:rPr>
          <w:rFonts w:ascii="Garamond" w:hAnsi="Garamond"/>
          <w:sz w:val="22"/>
          <w:szCs w:val="22"/>
        </w:rPr>
      </w:pPr>
      <w:r>
        <w:rPr>
          <w:rFonts w:ascii="Garamond" w:hAnsi="Garamond"/>
          <w:sz w:val="22"/>
          <w:szCs w:val="22"/>
        </w:rPr>
        <w:t>2 Learn what questions to ask to distinguish these diagnoses from ADHD</w:t>
      </w:r>
    </w:p>
    <w:p w:rsidP="004777F1">
      <w:pPr>
        <w:ind w:left="540" w:hanging="180"/>
        <w:rPr>
          <w:rFonts w:ascii="Garamond" w:hAnsi="Garamond"/>
          <w:sz w:val="22"/>
          <w:szCs w:val="22"/>
        </w:rPr>
      </w:pPr>
      <w:r>
        <w:rPr>
          <w:rFonts w:ascii="Garamond" w:hAnsi="Garamond"/>
          <w:sz w:val="22"/>
          <w:szCs w:val="22"/>
        </w:rPr>
        <w:t xml:space="preserve">3 In a child being treated for ADHD, identify the warning signs that another diagnosis is present and what to do next </w:t>
      </w:r>
    </w:p>
    <w:p w:rsidP="004777F1">
      <w:pPr>
        <w:ind w:left="540" w:hanging="180"/>
        <w:rPr>
          <w:rFonts w:ascii="Garamond" w:hAnsi="Garamond"/>
          <w:sz w:val="22"/>
          <w:szCs w:val="22"/>
        </w:rPr>
      </w:pPr>
      <w:r>
        <w:rPr>
          <w:rFonts w:ascii="Garamond" w:hAnsi="Garamond"/>
          <w:sz w:val="22"/>
          <w:szCs w:val="22"/>
        </w:rPr>
        <w:t xml:space="preserve">4 Develop an initial treatment plan for the case in which ADHD and one or more other diagnoses are present or it isn’t clear what is going on. </w:t>
      </w:r>
    </w:p>
    <w:p w:rsidR="004777F1" w:rsidP="004777F1">
      <w:pPr>
        <w:ind w:left="540" w:hanging="180"/>
        <w:rPr>
          <w:rFonts w:ascii="Garamond" w:hAnsi="Garamond"/>
          <w:sz w:val="22"/>
          <w:szCs w:val="22"/>
        </w:rPr>
      </w:pPr>
      <w:r>
        <w:rPr>
          <w:rFonts w:ascii="Garamond" w:hAnsi="Garamond"/>
          <w:sz w:val="22"/>
          <w:szCs w:val="22"/>
        </w:rPr>
        <w:t>5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7155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ACPE contact hour(s)) " "" </w:instrText>
      </w:r>
      <w:r>
        <w:rPr>
          <w:sz w:val="20"/>
          <w:szCs w:val="20"/>
        </w:rPr>
        <w:fldChar w:fldCharType="separate"/>
      </w:r>
      <w:r>
        <w:rPr>
          <w:sz w:val="20"/>
          <w:szCs w:val="20"/>
        </w:rPr>
        <w:t>(</w:t>
      </w:r>
      <w:r>
        <w:rPr>
          <w:sz w:val="20"/>
          <w:szCs w:val="20"/>
        </w:rPr>
        <w:t>1.00</w:t>
      </w:r>
      <w:r>
        <w:rPr>
          <w:sz w:val="20"/>
          <w:szCs w:val="20"/>
        </w:rPr>
        <w:t xml:space="preserve"> ACPE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Enduring Material</w:instrText>
      </w:r>
      <w:r>
        <w:rPr>
          <w:sz w:val="20"/>
          <w:szCs w:val="20"/>
        </w:rPr>
        <w:instrText>"</w:instrText>
      </w:r>
      <w:r>
        <w:rPr>
          <w:sz w:val="20"/>
          <w:szCs w:val="20"/>
        </w:rPr>
        <w:instrText xml:space="preserve"> &lt;&gt; "" "</w:instrText>
      </w:r>
      <w:r>
        <w:rPr>
          <w:sz w:val="20"/>
          <w:szCs w:val="20"/>
        </w:rPr>
        <w:instrText>enduring material</w:instrText>
      </w:r>
      <w:r>
        <w:rPr>
          <w:sz w:val="20"/>
          <w:szCs w:val="20"/>
        </w:rPr>
        <w:instrText xml:space="preserve">" "activity" </w:instrText>
      </w:r>
      <w:r>
        <w:rPr>
          <w:sz w:val="20"/>
          <w:szCs w:val="20"/>
        </w:rPr>
        <w:fldChar w:fldCharType="separate"/>
      </w:r>
      <w:r>
        <w:rPr>
          <w:sz w:val="20"/>
          <w:szCs w:val="20"/>
        </w:rPr>
        <w:instrText>enduring material</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1.00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1.00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enduring material</w:t>
      </w:r>
      <w:r>
        <w:rPr>
          <w:sz w:val="20"/>
          <w:szCs w:val="20"/>
        </w:rPr>
        <w:t xml:space="preserve"> </w:t>
      </w:r>
      <w:r w:rsidRPr="00443EE9">
        <w:rPr>
          <w:sz w:val="20"/>
          <w:szCs w:val="20"/>
        </w:rPr>
        <w:t xml:space="preserve">for a maximum of </w:t>
      </w:r>
      <w:r>
        <w:rPr>
          <w:sz w:val="20"/>
          <w:szCs w:val="20"/>
        </w:rPr>
        <w:t>1.00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55583862"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1.00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594866578"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1.00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367581050"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1903148857"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t>Nationwide Children's Hospital is an ADA CERP Recognized Provider. ADA CERP is a service of the American Dental Association to assist dental professionals in identifying quality providers of continuing dental education. ADA CERP does not approve or endorse</w:t>
      </w:r>
      <w:r w:rsidRPr="00207F0D">
        <w:rPr>
          <w:rFonts w:asciiTheme="minorHAnsi" w:hAnsiTheme="minorHAnsi"/>
        </w:rPr>
        <w:t xml:space="preserve"> </w:t>
      </w:r>
      <w:r w:rsidRPr="00207F0D">
        <w:rPr>
          <w:rFonts w:asciiTheme="minorHAnsi" w:hAnsiTheme="minorHAnsi"/>
          <w:noProof/>
          <w:sz w:val="20"/>
          <w:szCs w:val="20"/>
        </w:rPr>
        <w: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t>
      </w:r>
      <w:r w:rsidRPr="00207F0D">
        <w:rPr>
          <w:rFonts w:asciiTheme="minorHAnsi" w:hAnsiTheme="minorHAnsi"/>
          <w:noProof/>
          <w:sz w:val="20"/>
          <w:szCs w:val="20"/>
        </w:rPr>
        <w:t>1.00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934049174"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1.00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7052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