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38649</w:instrText>
      </w:r>
      <w:r>
        <w:rPr>
          <w:rFonts w:ascii="Garamond" w:hAnsi="Garamond"/>
          <w:bCs/>
        </w:rPr>
        <w:instrText xml:space="preserve"> &lt;&gt; "" "</w:instrText>
      </w:r>
      <w:r>
        <w:rPr>
          <w:rFonts w:ascii="Garamond" w:hAnsi="Garamond"/>
          <w:bCs/>
        </w:rPr>
        <w:instrText>2025 ECHO Pediatric Obesity #5</w:instrText>
      </w:r>
      <w:r>
        <w:rPr>
          <w:rFonts w:ascii="Garamond" w:hAnsi="Garamond"/>
          <w:bCs/>
        </w:rPr>
        <w:instrText>" "</w:instrText>
      </w: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Pr>
          <w:rFonts w:ascii="Garamond" w:hAnsi="Garamond"/>
          <w:bCs/>
        </w:rPr>
        <w:fldChar w:fldCharType="end"/>
      </w:r>
      <w:r>
        <w:rPr>
          <w:rFonts w:ascii="Garamond" w:hAnsi="Garamond"/>
          <w:bCs/>
        </w:rPr>
        <w:instrText xml:space="preserve">" </w:instrText>
      </w:r>
      <w:r>
        <w:rPr>
          <w:rFonts w:ascii="Garamond" w:hAnsi="Garamond"/>
          <w:bCs/>
        </w:rPr>
        <w:fldChar w:fldCharType="separate"/>
      </w:r>
      <w:r>
        <w:rPr>
          <w:rFonts w:ascii="Garamond" w:hAnsi="Garamond"/>
          <w:bCs/>
        </w:rPr>
        <w:t>2025 ECHO Pediatric Obesity #5</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May 15,</w:t>
      </w:r>
      <w:r>
        <w:rPr>
          <w:rFonts w:ascii="Garamond" w:hAnsi="Garamond"/>
          <w:bCs/>
        </w:rPr>
        <w:t xml:space="preserve"> 2025 - 12:00 PM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38649</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instrText>2025 ECHO Pediatric Obesity #5 - 5/15/2025</w:instrText>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009240FE">
        <w:rPr>
          <w:rFonts w:ascii="Garamond" w:hAnsi="Garamond"/>
          <w:b/>
        </w:rPr>
        <w:t>Presentation Title:</w:t>
      </w:r>
    </w:p>
    <w:p w:rsidR="009240FE" w:rsidP="009240FE">
      <w:pPr>
        <w:pStyle w:val="ListParagraph"/>
        <w:numPr>
          <w:ilvl w:val="0"/>
          <w:numId w:val="10"/>
        </w:numPr>
        <w:rPr>
          <w:rFonts w:ascii="Garamond" w:hAnsi="Garamond"/>
          <w:bCs/>
        </w:rPr>
      </w:pPr>
      <w:r>
        <w:rPr>
          <w:rFonts w:ascii="Garamond" w:hAnsi="Garamond"/>
          <w:bCs/>
        </w:rPr>
        <w:t>2025 ECHO Pediatric Obesity #5 - 5/15/2025</w:t>
      </w:r>
    </w:p>
    <w:p w:rsidR="009240FE" w:rsidP="009240FE">
      <w:pPr>
        <w:rPr>
          <w:rFonts w:ascii="Garamond" w:hAnsi="Garamond"/>
          <w:bCs/>
        </w:rPr>
      </w:pPr>
    </w:p>
    <w:p w:rsidRPr="009240FE" w:rsidP="00E462AF">
      <w:pPr>
        <w:rPr>
          <w:rFonts w:ascii="Garamond" w:hAnsi="Garamond"/>
          <w:bCs/>
        </w:rPr>
      </w:pP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Jacqueline Kopetz, APN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- 11/14/2024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Gina Thompson,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- 11/12/2024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Ericca Hewlett, RD, Clinical Dietitian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- 11/14/2024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Alexis Tindall, Program Manager I</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Amrik Khalsa,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Eileen A Chaves,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- 11/12/2024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Hiba Salhah,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support-Nationwide Children's Hospital - 09/17/2024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Katie Moran,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Matthew Paponetti, PT, DPT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- 06/20/2024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Tiffany Fowler,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- 10/03/2024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Bailey E Baker,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- 09/25/2024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Angel Dipangrazio, RD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- 12/03/2024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Isabelle Biglin, MSW, LSW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- 11/12/2024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Stephen Cook, MD,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Meal-Novo Nordisk Inc (Relationship has ended)|Other: Meal-Rhythm Pharmaceuticals (Relationship has ended) - 11/12/2024</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Explain when to consider obesity pharmacotherapy.</w:instrText>
      </w:r>
    </w:p>
    <w:p w:rsidR="004777F1">
      <w:pPr>
        <w:bidi w:val="0"/>
        <w:spacing w:after="280" w:afterAutospacing="1"/>
        <w:rPr>
          <w:rFonts w:ascii="Garamond" w:hAnsi="Garamond"/>
          <w:sz w:val="22"/>
          <w:szCs w:val="22"/>
        </w:rPr>
      </w:pPr>
      <w:r>
        <w:rPr>
          <w:rFonts w:ascii="Garamond" w:hAnsi="Garamond"/>
          <w:sz w:val="22"/>
          <w:szCs w:val="22"/>
        </w:rPr>
        <w:instrText>2 Identify recommended medications for pediatric obesity.</w:instrText>
      </w:r>
    </w:p>
    <w:p w:rsidR="004777F1">
      <w:pPr>
        <w:bidi w:val="0"/>
        <w:spacing w:after="280" w:afterAutospacing="1"/>
        <w:rPr>
          <w:rFonts w:ascii="Garamond" w:hAnsi="Garamond"/>
          <w:sz w:val="22"/>
          <w:szCs w:val="22"/>
        </w:rPr>
      </w:pPr>
      <w:r>
        <w:rPr>
          <w:rFonts w:ascii="Garamond" w:hAnsi="Garamond"/>
          <w:sz w:val="22"/>
          <w:szCs w:val="22"/>
        </w:rPr>
        <w:instrText>3 Summarize GLP-1 receptor agonist medications for the 12-17-year-old</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Explain when to consider obesity pharmacotherapy.</w:instrText>
      </w:r>
    </w:p>
    <w:p w:rsidP="004777F1">
      <w:pPr>
        <w:ind w:left="540" w:hanging="180"/>
        <w:rPr>
          <w:rFonts w:ascii="Garamond" w:hAnsi="Garamond"/>
          <w:sz w:val="22"/>
          <w:szCs w:val="22"/>
        </w:rPr>
      </w:pPr>
      <w:r>
        <w:rPr>
          <w:rFonts w:ascii="Garamond" w:hAnsi="Garamond"/>
          <w:sz w:val="22"/>
          <w:szCs w:val="22"/>
        </w:rPr>
        <w:instrText>2 Identify recommended medications for pediatric obesity.</w:instrText>
      </w:r>
    </w:p>
    <w:p w:rsidP="004777F1">
      <w:pPr>
        <w:ind w:left="540" w:hanging="180"/>
        <w:rPr>
          <w:rFonts w:ascii="Garamond" w:hAnsi="Garamond"/>
          <w:sz w:val="22"/>
          <w:szCs w:val="22"/>
        </w:rPr>
      </w:pPr>
      <w:r>
        <w:rPr>
          <w:rFonts w:ascii="Garamond" w:hAnsi="Garamond"/>
          <w:sz w:val="22"/>
          <w:szCs w:val="22"/>
        </w:rPr>
        <w:instrText>3 Summarize GLP-1 receptor agonist medications for the 12-17-year-old</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Explain when to consider obesity pharmacotherapy.</w:t>
      </w:r>
    </w:p>
    <w:p w:rsidP="004777F1">
      <w:pPr>
        <w:ind w:left="540" w:hanging="180"/>
        <w:rPr>
          <w:rFonts w:ascii="Garamond" w:hAnsi="Garamond"/>
          <w:sz w:val="22"/>
          <w:szCs w:val="22"/>
        </w:rPr>
      </w:pPr>
      <w:r>
        <w:rPr>
          <w:rFonts w:ascii="Garamond" w:hAnsi="Garamond"/>
          <w:sz w:val="22"/>
          <w:szCs w:val="22"/>
        </w:rPr>
        <w:t>2 Identify recommended medications for pediatric obesity.</w:t>
      </w:r>
    </w:p>
    <w:p w:rsidR="004777F1" w:rsidP="004777F1">
      <w:pPr>
        <w:ind w:left="540" w:hanging="180"/>
        <w:rPr>
          <w:rFonts w:ascii="Garamond" w:hAnsi="Garamond"/>
          <w:sz w:val="22"/>
          <w:szCs w:val="22"/>
        </w:rPr>
      </w:pPr>
      <w:r>
        <w:rPr>
          <w:rFonts w:ascii="Garamond" w:hAnsi="Garamond"/>
          <w:sz w:val="22"/>
          <w:szCs w:val="22"/>
        </w:rPr>
        <w:t>3 Summarize GLP-1 receptor agonist medications for the 12-17-year-old</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9504"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Live Activity</w:instrText>
      </w:r>
      <w:r>
        <w:rPr>
          <w:sz w:val="20"/>
          <w:szCs w:val="20"/>
        </w:rPr>
        <w:instrText>"</w:instrText>
      </w:r>
      <w:r>
        <w:rPr>
          <w:sz w:val="20"/>
          <w:szCs w:val="20"/>
        </w:rPr>
        <w:instrText xml:space="preserve"> &lt;&gt; "" "</w:instrText>
      </w:r>
      <w:r>
        <w:rPr>
          <w:sz w:val="20"/>
          <w:szCs w:val="20"/>
        </w:rPr>
        <w:instrText>live activity</w:instrText>
      </w:r>
      <w:r>
        <w:rPr>
          <w:sz w:val="20"/>
          <w:szCs w:val="20"/>
        </w:rPr>
        <w:instrText xml:space="preserve">" "activity" </w:instrText>
      </w:r>
      <w:r>
        <w:rPr>
          <w:sz w:val="20"/>
          <w:szCs w:val="20"/>
        </w:rPr>
        <w:fldChar w:fldCharType="separate"/>
      </w:r>
      <w:r>
        <w:rPr>
          <w:sz w:val="20"/>
          <w:szCs w:val="20"/>
        </w:rPr>
        <w:instrText>live activity</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live activity</w:t>
      </w:r>
      <w:r>
        <w:rPr>
          <w:sz w:val="20"/>
          <w:szCs w:val="20"/>
        </w:rPr>
        <w:t xml:space="preserve"> </w:t>
      </w:r>
      <w:r w:rsidRPr="00443EE9">
        <w:rPr>
          <w:sz w:val="20"/>
          <w:szCs w:val="20"/>
        </w:rPr>
        <w:t xml:space="preserve">for a maximum of </w:t>
      </w:r>
      <w:r>
        <w:rPr>
          <w:sz w:val="20"/>
          <w:szCs w:val="20"/>
        </w:rPr>
        <w:t>1.00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0.00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1.00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1502663212"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1.00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instrText>1.00</w:instrText>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752871993"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t>
      </w:r>
      <w:r w:rsidRPr="00207F0D">
        <w:rPr>
          <w:rFonts w:asciiTheme="minorHAnsi" w:hAnsiTheme="minorHAnsi"/>
          <w:sz w:val="20"/>
          <w:szCs w:val="20"/>
        </w:rPr>
        <w:t>1.00</w:t>
      </w:r>
      <w:r w:rsidRPr="00207F0D">
        <w:rPr>
          <w:rFonts w:asciiTheme="minorHAnsi" w:hAnsiTheme="minorHAnsi"/>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2018203948"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