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The Impact of Social Media on Youth (#43333)</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The Impact of Social Media on Youth (#43333)</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A Fristad,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Beneficiary-American Psychiatric Publishing, Inc.|Royalties or Patent Beneficiary-Guilford Press|Paid consultant-American Psychological Association (Relationship has ended)|Paid consultant-Oxford University Press (Relationship has ended)|Membership on Advisory Committees or Review Panels, Board Membership, etc.-Society of Clinical Child and Adolescent Psychology|Honoraria-Nachas Consulting (Relationship has ended)|Royalties or Patent Beneficiary-JK Seminars|Grant or research support-Janssen (Relationship has ended)|Honoraria-Society of Clinical Child and Adolescent Psychology (Relationship has ended)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Implement specific recommended behavioral health assessment and interventions with children in their practice.</w:instrText>
      </w:r>
    </w:p>
    <w:p w:rsidR="004777F1">
      <w:pPr>
        <w:bidi w:val="0"/>
        <w:spacing w:after="280" w:afterAutospacing="1"/>
        <w:rPr>
          <w:rFonts w:ascii="Garamond" w:hAnsi="Garamond"/>
          <w:sz w:val="22"/>
          <w:szCs w:val="22"/>
        </w:rPr>
      </w:pPr>
      <w:r>
        <w:rPr>
          <w:rFonts w:ascii="Garamond" w:hAnsi="Garamond"/>
          <w:sz w:val="22"/>
          <w:szCs w:val="22"/>
        </w:rPr>
        <w:instrText>2 Improve diagnose and better treat common presenting behavioral health concerns.</w:instrText>
      </w:r>
    </w:p>
    <w:p w:rsidR="004777F1">
      <w:pPr>
        <w:bidi w:val="0"/>
        <w:spacing w:after="280" w:afterAutospacing="1"/>
        <w:rPr>
          <w:rFonts w:ascii="Garamond" w:hAnsi="Garamond"/>
          <w:sz w:val="22"/>
          <w:szCs w:val="22"/>
        </w:rPr>
      </w:pPr>
      <w:r>
        <w:rPr>
          <w:rFonts w:ascii="Garamond" w:hAnsi="Garamond"/>
          <w:sz w:val="22"/>
          <w:szCs w:val="22"/>
        </w:rPr>
        <w:instrText>3 Create treatment plans from evidence-based findings for behavioral/developmental patients.</w:instrText>
      </w:r>
    </w:p>
    <w:p w:rsidR="004777F1">
      <w:pPr>
        <w:bidi w:val="0"/>
        <w:spacing w:after="280" w:afterAutospacing="1"/>
        <w:rPr>
          <w:rFonts w:ascii="Garamond" w:hAnsi="Garamond"/>
          <w:sz w:val="22"/>
          <w:szCs w:val="22"/>
        </w:rPr>
      </w:pPr>
      <w:r>
        <w:rPr>
          <w:rFonts w:ascii="Garamond" w:hAnsi="Garamond"/>
          <w:sz w:val="22"/>
          <w:szCs w:val="22"/>
        </w:rPr>
        <w:instrText>4 Identify and implement evaluation strategies relevant to Behavioral Health interventions implemented in their practice.</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Implement specific recommended behavioral health assessment and interventions with children in their practice.</w:instrText>
      </w:r>
    </w:p>
    <w:p w:rsidP="004777F1">
      <w:pPr>
        <w:ind w:left="540" w:hanging="180"/>
        <w:rPr>
          <w:rFonts w:ascii="Garamond" w:hAnsi="Garamond"/>
          <w:sz w:val="22"/>
          <w:szCs w:val="22"/>
        </w:rPr>
      </w:pPr>
      <w:r>
        <w:rPr>
          <w:rFonts w:ascii="Garamond" w:hAnsi="Garamond"/>
          <w:sz w:val="22"/>
          <w:szCs w:val="22"/>
        </w:rPr>
        <w:instrText>2 Improve diagnose and better treat common presenting behavioral health concerns.</w:instrText>
      </w:r>
    </w:p>
    <w:p w:rsidP="004777F1">
      <w:pPr>
        <w:ind w:left="540" w:hanging="180"/>
        <w:rPr>
          <w:rFonts w:ascii="Garamond" w:hAnsi="Garamond"/>
          <w:sz w:val="22"/>
          <w:szCs w:val="22"/>
        </w:rPr>
      </w:pPr>
      <w:r>
        <w:rPr>
          <w:rFonts w:ascii="Garamond" w:hAnsi="Garamond"/>
          <w:sz w:val="22"/>
          <w:szCs w:val="22"/>
        </w:rPr>
        <w:instrText>3 Create treatment plans from evidence-based findings for behavioral/developmental patients.</w:instrText>
      </w:r>
    </w:p>
    <w:p w:rsidP="004777F1">
      <w:pPr>
        <w:ind w:left="540" w:hanging="180"/>
        <w:rPr>
          <w:rFonts w:ascii="Garamond" w:hAnsi="Garamond"/>
          <w:sz w:val="22"/>
          <w:szCs w:val="22"/>
        </w:rPr>
      </w:pPr>
      <w:r>
        <w:rPr>
          <w:rFonts w:ascii="Garamond" w:hAnsi="Garamond"/>
          <w:sz w:val="22"/>
          <w:szCs w:val="22"/>
        </w:rPr>
        <w:instrText>4 Identify and implement evaluation strategies relevant to Behavioral Health interventions implemented in their practice.</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Implement specific recommended behavioral health assessment and interventions with children in their practice.</w:t>
      </w:r>
    </w:p>
    <w:p w:rsidP="004777F1">
      <w:pPr>
        <w:ind w:left="540" w:hanging="180"/>
        <w:rPr>
          <w:rFonts w:ascii="Garamond" w:hAnsi="Garamond"/>
          <w:sz w:val="22"/>
          <w:szCs w:val="22"/>
        </w:rPr>
      </w:pPr>
      <w:r>
        <w:rPr>
          <w:rFonts w:ascii="Garamond" w:hAnsi="Garamond"/>
          <w:sz w:val="22"/>
          <w:szCs w:val="22"/>
        </w:rPr>
        <w:t>2 Improve diagnose and better treat common presenting behavioral health concerns.</w:t>
      </w:r>
    </w:p>
    <w:p w:rsidP="004777F1">
      <w:pPr>
        <w:ind w:left="540" w:hanging="180"/>
        <w:rPr>
          <w:rFonts w:ascii="Garamond" w:hAnsi="Garamond"/>
          <w:sz w:val="22"/>
          <w:szCs w:val="22"/>
        </w:rPr>
      </w:pPr>
      <w:r>
        <w:rPr>
          <w:rFonts w:ascii="Garamond" w:hAnsi="Garamond"/>
          <w:sz w:val="22"/>
          <w:szCs w:val="22"/>
        </w:rPr>
        <w:t>3 Create treatment plans from evidence-based findings for behavioral/developmental patients.</w:t>
      </w:r>
    </w:p>
    <w:p w:rsidP="004777F1">
      <w:pPr>
        <w:ind w:left="540" w:hanging="180"/>
        <w:rPr>
          <w:rFonts w:ascii="Garamond" w:hAnsi="Garamond"/>
          <w:sz w:val="22"/>
          <w:szCs w:val="22"/>
        </w:rPr>
      </w:pPr>
      <w:r>
        <w:rPr>
          <w:rFonts w:ascii="Garamond" w:hAnsi="Garamond"/>
          <w:sz w:val="22"/>
          <w:szCs w:val="22"/>
        </w:rPr>
        <w:t>4 Identify and implement evaluation strategies relevant to Behavioral Health interventions implemented in their practice.</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35024499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826281536"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2136073250"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41081215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89610436"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