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Phone a Friend: Top Reasons Providers Consult with Psychiatrists (#43326)</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Phone a Friend: Top Reasons Providers Consult with Psychiatrists (#43326)</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12,</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Nadine Schwartz,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Kento Akasaka,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differentiate between services designed to collaborate with PCPs to promote use/improve care</w:instrText>
      </w:r>
    </w:p>
    <w:p w:rsidR="004777F1">
      <w:pPr>
        <w:bidi w:val="0"/>
        <w:spacing w:after="280" w:afterAutospacing="1"/>
        <w:rPr>
          <w:rFonts w:ascii="Garamond" w:hAnsi="Garamond"/>
          <w:sz w:val="22"/>
          <w:szCs w:val="22"/>
        </w:rPr>
      </w:pPr>
      <w:r>
        <w:rPr>
          <w:rFonts w:ascii="Garamond" w:hAnsi="Garamond"/>
          <w:sz w:val="22"/>
          <w:szCs w:val="22"/>
        </w:rPr>
        <w:instrText>2 understand common reasons to consult psychiatry to support comfort in reaching out</w:instrText>
      </w:r>
    </w:p>
    <w:p w:rsidR="004777F1">
      <w:pPr>
        <w:bidi w:val="0"/>
        <w:spacing w:after="280" w:afterAutospacing="1"/>
        <w:rPr>
          <w:rFonts w:ascii="Garamond" w:hAnsi="Garamond"/>
          <w:sz w:val="22"/>
          <w:szCs w:val="22"/>
        </w:rPr>
      </w:pPr>
      <w:r>
        <w:rPr>
          <w:rFonts w:ascii="Garamond" w:hAnsi="Garamond"/>
          <w:sz w:val="22"/>
          <w:szCs w:val="22"/>
        </w:rPr>
        <w:instrText>3 identify avenues to access psychiatry consultation to best utilize services available</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differentiate between services designed to collaborate with PCPs to promote use/improve care</w:instrText>
      </w:r>
    </w:p>
    <w:p w:rsidP="004777F1">
      <w:pPr>
        <w:ind w:left="540" w:hanging="180"/>
        <w:rPr>
          <w:rFonts w:ascii="Garamond" w:hAnsi="Garamond"/>
          <w:sz w:val="22"/>
          <w:szCs w:val="22"/>
        </w:rPr>
      </w:pPr>
      <w:r>
        <w:rPr>
          <w:rFonts w:ascii="Garamond" w:hAnsi="Garamond"/>
          <w:sz w:val="22"/>
          <w:szCs w:val="22"/>
        </w:rPr>
        <w:instrText>2 understand common reasons to consult psychiatry to support comfort in reaching out</w:instrText>
      </w:r>
    </w:p>
    <w:p w:rsidP="004777F1">
      <w:pPr>
        <w:ind w:left="540" w:hanging="180"/>
        <w:rPr>
          <w:rFonts w:ascii="Garamond" w:hAnsi="Garamond"/>
          <w:sz w:val="22"/>
          <w:szCs w:val="22"/>
        </w:rPr>
      </w:pPr>
      <w:r>
        <w:rPr>
          <w:rFonts w:ascii="Garamond" w:hAnsi="Garamond"/>
          <w:sz w:val="22"/>
          <w:szCs w:val="22"/>
        </w:rPr>
        <w:instrText>3 identify avenues to access psychiatry consultation to best utilize services available</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differentiate between services designed to collaborate with PCPs to promote use/improve care</w:t>
      </w:r>
    </w:p>
    <w:p w:rsidP="004777F1">
      <w:pPr>
        <w:ind w:left="540" w:hanging="180"/>
        <w:rPr>
          <w:rFonts w:ascii="Garamond" w:hAnsi="Garamond"/>
          <w:sz w:val="22"/>
          <w:szCs w:val="22"/>
        </w:rPr>
      </w:pPr>
      <w:r>
        <w:rPr>
          <w:rFonts w:ascii="Garamond" w:hAnsi="Garamond"/>
          <w:sz w:val="22"/>
          <w:szCs w:val="22"/>
        </w:rPr>
        <w:t>2 understand common reasons to consult psychiatry to support comfort in reaching out</w:t>
      </w:r>
    </w:p>
    <w:p w:rsidP="004777F1">
      <w:pPr>
        <w:ind w:left="540" w:hanging="180"/>
        <w:rPr>
          <w:rFonts w:ascii="Garamond" w:hAnsi="Garamond"/>
          <w:sz w:val="22"/>
          <w:szCs w:val="22"/>
        </w:rPr>
      </w:pPr>
      <w:r>
        <w:rPr>
          <w:rFonts w:ascii="Garamond" w:hAnsi="Garamond"/>
          <w:sz w:val="22"/>
          <w:szCs w:val="22"/>
        </w:rPr>
        <w:t>3 identify avenues to access psychiatry consultation to best utilize services available</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43804629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78439728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727025633"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1472160806"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007594417"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