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When Patient Families Experience Grief (#43322)</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When Patient Families Experience Grief (#43322)</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R Schaefer,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Identify models/theories of grief.</w:instrText>
      </w:r>
    </w:p>
    <w:p w:rsidR="004777F1">
      <w:pPr>
        <w:bidi w:val="0"/>
        <w:spacing w:after="280" w:afterAutospacing="1"/>
        <w:rPr>
          <w:rFonts w:ascii="Garamond" w:hAnsi="Garamond"/>
          <w:sz w:val="22"/>
          <w:szCs w:val="22"/>
        </w:rPr>
      </w:pPr>
      <w:r>
        <w:rPr>
          <w:rFonts w:ascii="Garamond" w:hAnsi="Garamond"/>
          <w:sz w:val="22"/>
          <w:szCs w:val="22"/>
        </w:rPr>
        <w:instrText>2 Indicate differences between adaptive and maladaptive grief responses and coping.</w:instrText>
      </w:r>
    </w:p>
    <w:p w:rsidR="004777F1">
      <w:pPr>
        <w:bidi w:val="0"/>
        <w:spacing w:after="280" w:afterAutospacing="1"/>
        <w:rPr>
          <w:rFonts w:ascii="Garamond" w:hAnsi="Garamond"/>
          <w:sz w:val="22"/>
          <w:szCs w:val="22"/>
        </w:rPr>
      </w:pPr>
      <w:r>
        <w:rPr>
          <w:rFonts w:ascii="Garamond" w:hAnsi="Garamond"/>
          <w:sz w:val="22"/>
          <w:szCs w:val="22"/>
        </w:rPr>
        <w:instrText>3 Explain the impact of development on a child’s understanding of and response to illness and death as well as identify developmentally appropriate ways to educate and support grieving child.</w:instrText>
      </w:r>
    </w:p>
    <w:p w:rsidR="004777F1">
      <w:pPr>
        <w:bidi w:val="0"/>
        <w:spacing w:after="280" w:afterAutospacing="1"/>
        <w:rPr>
          <w:rFonts w:ascii="Garamond" w:hAnsi="Garamond"/>
          <w:sz w:val="22"/>
          <w:szCs w:val="22"/>
        </w:rPr>
      </w:pPr>
      <w:r>
        <w:rPr>
          <w:rFonts w:ascii="Garamond" w:hAnsi="Garamond"/>
          <w:sz w:val="22"/>
          <w:szCs w:val="22"/>
        </w:rPr>
        <w:instrText xml:space="preserve">4 Discuss grief-focused assessments and interventions for grieving children and families. </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models/theories of grief.</w:instrText>
      </w:r>
    </w:p>
    <w:p w:rsidP="004777F1">
      <w:pPr>
        <w:ind w:left="540" w:hanging="180"/>
        <w:rPr>
          <w:rFonts w:ascii="Garamond" w:hAnsi="Garamond"/>
          <w:sz w:val="22"/>
          <w:szCs w:val="22"/>
        </w:rPr>
      </w:pPr>
      <w:r>
        <w:rPr>
          <w:rFonts w:ascii="Garamond" w:hAnsi="Garamond"/>
          <w:sz w:val="22"/>
          <w:szCs w:val="22"/>
        </w:rPr>
        <w:instrText>2 Indicate differences between adaptive and maladaptive grief responses and coping.</w:instrText>
      </w:r>
    </w:p>
    <w:p w:rsidP="004777F1">
      <w:pPr>
        <w:ind w:left="540" w:hanging="180"/>
        <w:rPr>
          <w:rFonts w:ascii="Garamond" w:hAnsi="Garamond"/>
          <w:sz w:val="22"/>
          <w:szCs w:val="22"/>
        </w:rPr>
      </w:pPr>
      <w:r>
        <w:rPr>
          <w:rFonts w:ascii="Garamond" w:hAnsi="Garamond"/>
          <w:sz w:val="22"/>
          <w:szCs w:val="22"/>
        </w:rPr>
        <w:instrText>3 Explain the impact of development on a child’s understanding of and response to illness and death as well as identify developmentally appropriate ways to educate and support grieving child.</w:instrText>
      </w:r>
    </w:p>
    <w:p w:rsidP="004777F1">
      <w:pPr>
        <w:ind w:left="540" w:hanging="180"/>
        <w:rPr>
          <w:rFonts w:ascii="Garamond" w:hAnsi="Garamond"/>
          <w:sz w:val="22"/>
          <w:szCs w:val="22"/>
        </w:rPr>
      </w:pPr>
      <w:r>
        <w:rPr>
          <w:rFonts w:ascii="Garamond" w:hAnsi="Garamond"/>
          <w:sz w:val="22"/>
          <w:szCs w:val="22"/>
        </w:rPr>
        <w:instrText xml:space="preserve">4 Discuss grief-focused assessments and interventions for grieving children and families. </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models/theories of grief.</w:t>
      </w:r>
    </w:p>
    <w:p w:rsidP="004777F1">
      <w:pPr>
        <w:ind w:left="540" w:hanging="180"/>
        <w:rPr>
          <w:rFonts w:ascii="Garamond" w:hAnsi="Garamond"/>
          <w:sz w:val="22"/>
          <w:szCs w:val="22"/>
        </w:rPr>
      </w:pPr>
      <w:r>
        <w:rPr>
          <w:rFonts w:ascii="Garamond" w:hAnsi="Garamond"/>
          <w:sz w:val="22"/>
          <w:szCs w:val="22"/>
        </w:rPr>
        <w:t>2 Indicate differences between adaptive and maladaptive grief responses and coping.</w:t>
      </w:r>
    </w:p>
    <w:p w:rsidP="004777F1">
      <w:pPr>
        <w:ind w:left="540" w:hanging="180"/>
        <w:rPr>
          <w:rFonts w:ascii="Garamond" w:hAnsi="Garamond"/>
          <w:sz w:val="22"/>
          <w:szCs w:val="22"/>
        </w:rPr>
      </w:pPr>
      <w:r>
        <w:rPr>
          <w:rFonts w:ascii="Garamond" w:hAnsi="Garamond"/>
          <w:sz w:val="22"/>
          <w:szCs w:val="22"/>
        </w:rPr>
        <w:t>3 Explain the impact of development on a child’s understanding of and response to illness and death as well as identify developmentally appropriate ways to educate and support grieving child.</w:t>
      </w:r>
    </w:p>
    <w:p w:rsidP="004777F1">
      <w:pPr>
        <w:ind w:left="540" w:hanging="180"/>
        <w:rPr>
          <w:rFonts w:ascii="Garamond" w:hAnsi="Garamond"/>
          <w:sz w:val="22"/>
          <w:szCs w:val="22"/>
        </w:rPr>
      </w:pPr>
      <w:r>
        <w:rPr>
          <w:rFonts w:ascii="Garamond" w:hAnsi="Garamond"/>
          <w:sz w:val="22"/>
          <w:szCs w:val="22"/>
        </w:rPr>
        <w:t xml:space="preserve">4 Discuss grief-focused assessments and interventions for grieving children and families. </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063025006"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91681508"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322883647"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686282950"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60242135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