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BH Needs for Complex Care (#43321)</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BH Needs for Complex Care (#43321)</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12,</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Nadine Schwartz,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manage psychiatric polypharmacy, particularly but not exclusively in patients transferred from another provider.</w:instrText>
      </w:r>
    </w:p>
    <w:p w:rsidR="004777F1">
      <w:pPr>
        <w:bidi w:val="0"/>
        <w:spacing w:after="280" w:afterAutospacing="1"/>
        <w:rPr>
          <w:rFonts w:ascii="Garamond" w:hAnsi="Garamond"/>
          <w:sz w:val="22"/>
          <w:szCs w:val="22"/>
        </w:rPr>
      </w:pPr>
      <w:r>
        <w:rPr>
          <w:rFonts w:ascii="Garamond" w:hAnsi="Garamond"/>
          <w:sz w:val="22"/>
          <w:szCs w:val="22"/>
        </w:rPr>
        <w:instrText>2 identify safe and common medication combinations and usual rationales/scenarios for utilization of these.</w:instrText>
      </w:r>
    </w:p>
    <w:p w:rsidR="004777F1">
      <w:pPr>
        <w:bidi w:val="0"/>
        <w:spacing w:after="280" w:afterAutospacing="1"/>
        <w:rPr>
          <w:rFonts w:ascii="Garamond" w:hAnsi="Garamond"/>
          <w:sz w:val="22"/>
          <w:szCs w:val="22"/>
        </w:rPr>
      </w:pPr>
      <w:r>
        <w:rPr>
          <w:rFonts w:ascii="Garamond" w:hAnsi="Garamond"/>
          <w:sz w:val="22"/>
          <w:szCs w:val="22"/>
        </w:rPr>
        <w:instrText>3 utilize the resources at NCH that are available for support of Psychiatric/BH patient management within the Primary Care setting.</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manage psychiatric polypharmacy, particularly but not exclusively in patients transferred from another provider.</w:instrText>
      </w:r>
    </w:p>
    <w:p w:rsidP="004777F1">
      <w:pPr>
        <w:ind w:left="540" w:hanging="180"/>
        <w:rPr>
          <w:rFonts w:ascii="Garamond" w:hAnsi="Garamond"/>
          <w:sz w:val="22"/>
          <w:szCs w:val="22"/>
        </w:rPr>
      </w:pPr>
      <w:r>
        <w:rPr>
          <w:rFonts w:ascii="Garamond" w:hAnsi="Garamond"/>
          <w:sz w:val="22"/>
          <w:szCs w:val="22"/>
        </w:rPr>
        <w:instrText>2 identify safe and common medication combinations and usual rationales/scenarios for utilization of these.</w:instrText>
      </w:r>
    </w:p>
    <w:p w:rsidP="004777F1">
      <w:pPr>
        <w:ind w:left="540" w:hanging="180"/>
        <w:rPr>
          <w:rFonts w:ascii="Garamond" w:hAnsi="Garamond"/>
          <w:sz w:val="22"/>
          <w:szCs w:val="22"/>
        </w:rPr>
      </w:pPr>
      <w:r>
        <w:rPr>
          <w:rFonts w:ascii="Garamond" w:hAnsi="Garamond"/>
          <w:sz w:val="22"/>
          <w:szCs w:val="22"/>
        </w:rPr>
        <w:instrText>3 utilize the resources at NCH that are available for support of Psychiatric/BH patient management within the Primary Care setting.</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manage psychiatric polypharmacy, particularly but not exclusively in patients transferred from another provider.</w:t>
      </w:r>
    </w:p>
    <w:p w:rsidP="004777F1">
      <w:pPr>
        <w:ind w:left="540" w:hanging="180"/>
        <w:rPr>
          <w:rFonts w:ascii="Garamond" w:hAnsi="Garamond"/>
          <w:sz w:val="22"/>
          <w:szCs w:val="22"/>
        </w:rPr>
      </w:pPr>
      <w:r>
        <w:rPr>
          <w:rFonts w:ascii="Garamond" w:hAnsi="Garamond"/>
          <w:sz w:val="22"/>
          <w:szCs w:val="22"/>
        </w:rPr>
        <w:t>2 identify safe and common medication combinations and usual rationales/scenarios for utilization of these.</w:t>
      </w:r>
    </w:p>
    <w:p w:rsidP="004777F1">
      <w:pPr>
        <w:ind w:left="540" w:hanging="180"/>
        <w:rPr>
          <w:rFonts w:ascii="Garamond" w:hAnsi="Garamond"/>
          <w:sz w:val="22"/>
          <w:szCs w:val="22"/>
        </w:rPr>
      </w:pPr>
      <w:r>
        <w:rPr>
          <w:rFonts w:ascii="Garamond" w:hAnsi="Garamond"/>
          <w:sz w:val="22"/>
          <w:szCs w:val="22"/>
        </w:rPr>
        <w:t>3 utilize the resources at NCH that are available for support of Psychiatric/BH patient management within the Primary Care setting.</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5199414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89778362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68049588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216393353"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516673525"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