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30308</w:instrText>
      </w:r>
      <w:r>
        <w:rPr>
          <w:rFonts w:ascii="Garamond" w:hAnsi="Garamond"/>
          <w:bCs/>
        </w:rPr>
        <w:instrText xml:space="preserve"> &lt;&gt; "" "</w:instrText>
      </w:r>
      <w:r>
        <w:rPr>
          <w:rFonts w:ascii="Garamond" w:hAnsi="Garamond"/>
          <w:bCs/>
        </w:rPr>
        <w:instrText xml:space="preserve"> Diabetes Management Education</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 xml:space="preserve"> Diabetes Management Education</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August 13,</w:t>
      </w:r>
      <w:r>
        <w:rPr>
          <w:rFonts w:ascii="Garamond" w:hAnsi="Garamond"/>
          <w:bCs/>
        </w:rPr>
        <w:t xml:space="preserve"> 2025 - 1:00 PM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30308</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Diabetes Management Education 8/13/25</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Diabetes Management Education 8/13/25</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Beth Edwards,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Anita Peoples,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A Joplin, RD LD, Registered Dietitian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Carvaines, RD,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- 12/09/2024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1 Describe the pathophysiological differences between type 1 and type 2 diabetes</w:instrText>
      </w:r>
    </w:p>
    <w:p w:rsidR="004777F1" w:rsidP="004777F1">
      <w:pPr>
        <w:ind w:left="540" w:hanging="180"/>
        <w:rPr>
          <w:rFonts w:ascii="Garamond" w:hAnsi="Garamond"/>
          <w:sz w:val="22"/>
          <w:szCs w:val="22"/>
        </w:rPr>
      </w:pPr>
      <w:r>
        <w:rPr>
          <w:rFonts w:ascii="Garamond" w:hAnsi="Garamond"/>
          <w:sz w:val="22"/>
          <w:szCs w:val="22"/>
        </w:rPr>
        <w:instrText>2 Define what target range means in diabetes</w:instrText>
      </w:r>
    </w:p>
    <w:p w:rsidR="004777F1" w:rsidP="004777F1">
      <w:pPr>
        <w:ind w:left="540" w:hanging="180"/>
        <w:rPr>
          <w:rFonts w:ascii="Garamond" w:hAnsi="Garamond"/>
          <w:sz w:val="22"/>
          <w:szCs w:val="22"/>
        </w:rPr>
      </w:pPr>
      <w:r>
        <w:rPr>
          <w:rFonts w:ascii="Garamond" w:hAnsi="Garamond"/>
          <w:sz w:val="22"/>
          <w:szCs w:val="22"/>
        </w:rPr>
        <w:instrText xml:space="preserve">3 Identify the appropriate use of blood glucose meters and continuous glucose monitors in testing glucose values </w:instrText>
      </w:r>
    </w:p>
    <w:p w:rsidR="004777F1" w:rsidP="004777F1">
      <w:pPr>
        <w:ind w:left="540" w:hanging="180"/>
        <w:rPr>
          <w:rFonts w:ascii="Garamond" w:hAnsi="Garamond"/>
          <w:sz w:val="22"/>
          <w:szCs w:val="22"/>
        </w:rPr>
      </w:pPr>
      <w:r>
        <w:rPr>
          <w:rFonts w:ascii="Garamond" w:hAnsi="Garamond"/>
          <w:sz w:val="22"/>
          <w:szCs w:val="22"/>
        </w:rPr>
        <w:instrText>4 Define basal-bolus insulin therapy</w:instrText>
      </w:r>
    </w:p>
    <w:p w:rsidR="004777F1" w:rsidP="004777F1">
      <w:pPr>
        <w:ind w:left="540" w:hanging="180"/>
        <w:rPr>
          <w:rFonts w:ascii="Garamond" w:hAnsi="Garamond"/>
          <w:sz w:val="22"/>
          <w:szCs w:val="22"/>
        </w:rPr>
      </w:pPr>
      <w:r>
        <w:rPr>
          <w:rFonts w:ascii="Garamond" w:hAnsi="Garamond"/>
          <w:sz w:val="22"/>
          <w:szCs w:val="22"/>
        </w:rPr>
        <w:instrText>5 Utilize insulin-to-carb (ICR) to accurately calculate insulin bolus for food</w:instrText>
      </w:r>
    </w:p>
    <w:p w:rsidR="004777F1" w:rsidP="004777F1">
      <w:pPr>
        <w:ind w:left="540" w:hanging="180"/>
        <w:rPr>
          <w:rFonts w:ascii="Garamond" w:hAnsi="Garamond"/>
          <w:sz w:val="22"/>
          <w:szCs w:val="22"/>
        </w:rPr>
      </w:pPr>
      <w:r>
        <w:rPr>
          <w:rFonts w:ascii="Garamond" w:hAnsi="Garamond"/>
          <w:sz w:val="22"/>
          <w:szCs w:val="22"/>
        </w:rPr>
        <w:instrText>6 Utilize correction factor (CF) to accurately calculate glucose correction doses.</w:instrText>
      </w:r>
    </w:p>
    <w:p w:rsidR="004777F1" w:rsidP="004777F1">
      <w:pPr>
        <w:ind w:left="540" w:hanging="180"/>
        <w:rPr>
          <w:rFonts w:ascii="Garamond" w:hAnsi="Garamond"/>
          <w:sz w:val="22"/>
          <w:szCs w:val="22"/>
        </w:rPr>
      </w:pPr>
      <w:r>
        <w:rPr>
          <w:rFonts w:ascii="Garamond" w:hAnsi="Garamond"/>
          <w:sz w:val="22"/>
          <w:szCs w:val="22"/>
        </w:rPr>
        <w:instrText xml:space="preserve">7 Identify appropriate use of insulin pens and insulin pumps.  </w:instrText>
      </w:r>
    </w:p>
    <w:p w:rsidR="004777F1" w:rsidP="004777F1">
      <w:pPr>
        <w:ind w:left="540" w:hanging="180"/>
        <w:rPr>
          <w:rFonts w:ascii="Garamond" w:hAnsi="Garamond"/>
          <w:sz w:val="22"/>
          <w:szCs w:val="22"/>
        </w:rPr>
      </w:pPr>
      <w:r>
        <w:rPr>
          <w:rFonts w:ascii="Garamond" w:hAnsi="Garamond"/>
          <w:sz w:val="22"/>
          <w:szCs w:val="22"/>
        </w:rPr>
        <w:instrText>8 Identify causes, signs, and symptoms of hypoglycemia.  Describe prevention and treatment, including use of glucagon.</w:instrText>
      </w:r>
    </w:p>
    <w:p w:rsidR="004777F1" w:rsidP="004777F1">
      <w:pPr>
        <w:ind w:left="540" w:hanging="180"/>
        <w:rPr>
          <w:rFonts w:ascii="Garamond" w:hAnsi="Garamond"/>
          <w:sz w:val="22"/>
          <w:szCs w:val="22"/>
        </w:rPr>
      </w:pPr>
      <w:r>
        <w:rPr>
          <w:rFonts w:ascii="Garamond" w:hAnsi="Garamond"/>
          <w:sz w:val="22"/>
          <w:szCs w:val="22"/>
        </w:rPr>
        <w:instrText>9 Identify causes, signs, and symptoms of hyperglycemia.  Describe prevention and treatment, including ketone management.</w:instrText>
      </w:r>
    </w:p>
    <w:p w:rsidR="004777F1" w:rsidP="004777F1">
      <w:pPr>
        <w:ind w:left="540" w:hanging="180"/>
        <w:rPr>
          <w:rFonts w:ascii="Garamond" w:hAnsi="Garamond"/>
          <w:sz w:val="22"/>
          <w:szCs w:val="22"/>
        </w:rPr>
      </w:pPr>
      <w:r>
        <w:rPr>
          <w:rFonts w:ascii="Garamond" w:hAnsi="Garamond"/>
          <w:sz w:val="22"/>
          <w:szCs w:val="22"/>
        </w:rPr>
        <w:instrText>10 Identify causes, signs, and symptoms of DKA.  Describe the need for emergency treatment.</w:instrText>
      </w:r>
    </w:p>
    <w:p w:rsidR="004777F1" w:rsidP="004777F1">
      <w:pPr>
        <w:ind w:left="540" w:hanging="180"/>
        <w:rPr>
          <w:rFonts w:ascii="Garamond" w:hAnsi="Garamond"/>
          <w:sz w:val="22"/>
          <w:szCs w:val="22"/>
        </w:rPr>
      </w:pPr>
      <w:r>
        <w:rPr>
          <w:rFonts w:ascii="Garamond" w:hAnsi="Garamond"/>
          <w:sz w:val="22"/>
          <w:szCs w:val="22"/>
        </w:rPr>
        <w:instrText>11 Describe how to contact Nationwide Children's for guidance.</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Describe the pathophysiological differences between type 1 and type 2 diabetes</w:instrText>
      </w:r>
    </w:p>
    <w:p w:rsidP="004777F1">
      <w:pPr>
        <w:ind w:left="540" w:hanging="180"/>
        <w:rPr>
          <w:rFonts w:ascii="Garamond" w:hAnsi="Garamond"/>
          <w:sz w:val="22"/>
          <w:szCs w:val="22"/>
        </w:rPr>
      </w:pPr>
      <w:r>
        <w:rPr>
          <w:rFonts w:ascii="Garamond" w:hAnsi="Garamond"/>
          <w:sz w:val="22"/>
          <w:szCs w:val="22"/>
        </w:rPr>
        <w:instrText>2 Define what target range means in diabetes</w:instrText>
      </w:r>
    </w:p>
    <w:p w:rsidP="004777F1">
      <w:pPr>
        <w:ind w:left="540" w:hanging="180"/>
        <w:rPr>
          <w:rFonts w:ascii="Garamond" w:hAnsi="Garamond"/>
          <w:sz w:val="22"/>
          <w:szCs w:val="22"/>
        </w:rPr>
      </w:pPr>
      <w:r>
        <w:rPr>
          <w:rFonts w:ascii="Garamond" w:hAnsi="Garamond"/>
          <w:sz w:val="22"/>
          <w:szCs w:val="22"/>
        </w:rPr>
        <w:instrText xml:space="preserve">3 Identify the appropriate use of blood glucose meters and continuous glucose monitors in testing glucose values </w:instrText>
      </w:r>
    </w:p>
    <w:p w:rsidP="004777F1">
      <w:pPr>
        <w:ind w:left="540" w:hanging="180"/>
        <w:rPr>
          <w:rFonts w:ascii="Garamond" w:hAnsi="Garamond"/>
          <w:sz w:val="22"/>
          <w:szCs w:val="22"/>
        </w:rPr>
      </w:pPr>
      <w:r>
        <w:rPr>
          <w:rFonts w:ascii="Garamond" w:hAnsi="Garamond"/>
          <w:sz w:val="22"/>
          <w:szCs w:val="22"/>
        </w:rPr>
        <w:instrText>4 Define basal-bolus insulin therapy</w:instrText>
      </w:r>
    </w:p>
    <w:p w:rsidP="004777F1">
      <w:pPr>
        <w:ind w:left="540" w:hanging="180"/>
        <w:rPr>
          <w:rFonts w:ascii="Garamond" w:hAnsi="Garamond"/>
          <w:sz w:val="22"/>
          <w:szCs w:val="22"/>
        </w:rPr>
      </w:pPr>
      <w:r>
        <w:rPr>
          <w:rFonts w:ascii="Garamond" w:hAnsi="Garamond"/>
          <w:sz w:val="22"/>
          <w:szCs w:val="22"/>
        </w:rPr>
        <w:instrText>5 Utilize insulin-to-carb (ICR) to accurately calculate insulin bolus for food</w:instrText>
      </w:r>
    </w:p>
    <w:p w:rsidP="004777F1">
      <w:pPr>
        <w:ind w:left="540" w:hanging="180"/>
        <w:rPr>
          <w:rFonts w:ascii="Garamond" w:hAnsi="Garamond"/>
          <w:sz w:val="22"/>
          <w:szCs w:val="22"/>
        </w:rPr>
      </w:pPr>
      <w:r>
        <w:rPr>
          <w:rFonts w:ascii="Garamond" w:hAnsi="Garamond"/>
          <w:sz w:val="22"/>
          <w:szCs w:val="22"/>
        </w:rPr>
        <w:instrText>6 Utilize correction factor (CF) to accurately calculate glucose correction doses.</w:instrText>
      </w:r>
    </w:p>
    <w:p w:rsidP="004777F1">
      <w:pPr>
        <w:ind w:left="540" w:hanging="180"/>
        <w:rPr>
          <w:rFonts w:ascii="Garamond" w:hAnsi="Garamond"/>
          <w:sz w:val="22"/>
          <w:szCs w:val="22"/>
        </w:rPr>
      </w:pPr>
      <w:r>
        <w:rPr>
          <w:rFonts w:ascii="Garamond" w:hAnsi="Garamond"/>
          <w:sz w:val="22"/>
          <w:szCs w:val="22"/>
        </w:rPr>
        <w:instrText xml:space="preserve">7 Identify appropriate use of insulin pens and insulin pumps.  </w:instrText>
      </w:r>
    </w:p>
    <w:p w:rsidP="004777F1">
      <w:pPr>
        <w:ind w:left="540" w:hanging="180"/>
        <w:rPr>
          <w:rFonts w:ascii="Garamond" w:hAnsi="Garamond"/>
          <w:sz w:val="22"/>
          <w:szCs w:val="22"/>
        </w:rPr>
      </w:pPr>
      <w:r>
        <w:rPr>
          <w:rFonts w:ascii="Garamond" w:hAnsi="Garamond"/>
          <w:sz w:val="22"/>
          <w:szCs w:val="22"/>
        </w:rPr>
        <w:instrText>8 Identify causes, signs, and symptoms of hypoglycemia.  Describe prevention and treatment, including use of glucagon.</w:instrText>
      </w:r>
    </w:p>
    <w:p w:rsidP="004777F1">
      <w:pPr>
        <w:ind w:left="540" w:hanging="180"/>
        <w:rPr>
          <w:rFonts w:ascii="Garamond" w:hAnsi="Garamond"/>
          <w:sz w:val="22"/>
          <w:szCs w:val="22"/>
        </w:rPr>
      </w:pPr>
      <w:r>
        <w:rPr>
          <w:rFonts w:ascii="Garamond" w:hAnsi="Garamond"/>
          <w:sz w:val="22"/>
          <w:szCs w:val="22"/>
        </w:rPr>
        <w:instrText>9 Identify causes, signs, and symptoms of hyperglycemia.  Describe prevention and treatment, including ketone management.</w:instrText>
      </w:r>
    </w:p>
    <w:p w:rsidP="004777F1">
      <w:pPr>
        <w:ind w:left="540" w:hanging="180"/>
        <w:rPr>
          <w:rFonts w:ascii="Garamond" w:hAnsi="Garamond"/>
          <w:sz w:val="22"/>
          <w:szCs w:val="22"/>
        </w:rPr>
      </w:pPr>
      <w:r>
        <w:rPr>
          <w:rFonts w:ascii="Garamond" w:hAnsi="Garamond"/>
          <w:sz w:val="22"/>
          <w:szCs w:val="22"/>
        </w:rPr>
        <w:instrText>10 Identify causes, signs, and symptoms of DKA.  Describe the need for emergency treatment.</w:instrText>
      </w:r>
    </w:p>
    <w:p w:rsidP="004777F1">
      <w:pPr>
        <w:ind w:left="540" w:hanging="180"/>
        <w:rPr>
          <w:rFonts w:ascii="Garamond" w:hAnsi="Garamond"/>
          <w:sz w:val="22"/>
          <w:szCs w:val="22"/>
        </w:rPr>
      </w:pPr>
      <w:r>
        <w:rPr>
          <w:rFonts w:ascii="Garamond" w:hAnsi="Garamond"/>
          <w:sz w:val="22"/>
          <w:szCs w:val="22"/>
        </w:rPr>
        <w:instrText>11 Describe how to contact Nationwide Children's for guidance.</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Describe the pathophysiological differences between type 1 and type 2 diabetes</w:t>
      </w:r>
    </w:p>
    <w:p w:rsidP="004777F1">
      <w:pPr>
        <w:ind w:left="540" w:hanging="180"/>
        <w:rPr>
          <w:rFonts w:ascii="Garamond" w:hAnsi="Garamond"/>
          <w:sz w:val="22"/>
          <w:szCs w:val="22"/>
        </w:rPr>
      </w:pPr>
      <w:r>
        <w:rPr>
          <w:rFonts w:ascii="Garamond" w:hAnsi="Garamond"/>
          <w:sz w:val="22"/>
          <w:szCs w:val="22"/>
        </w:rPr>
        <w:t>2 Define what target range means in diabetes</w:t>
      </w:r>
    </w:p>
    <w:p w:rsidP="004777F1">
      <w:pPr>
        <w:ind w:left="540" w:hanging="180"/>
        <w:rPr>
          <w:rFonts w:ascii="Garamond" w:hAnsi="Garamond"/>
          <w:sz w:val="22"/>
          <w:szCs w:val="22"/>
        </w:rPr>
      </w:pPr>
      <w:r>
        <w:rPr>
          <w:rFonts w:ascii="Garamond" w:hAnsi="Garamond"/>
          <w:sz w:val="22"/>
          <w:szCs w:val="22"/>
        </w:rPr>
        <w:t xml:space="preserve">3 Identify the appropriate use of blood glucose meters and continuous glucose monitors in testing glucose values </w:t>
      </w:r>
    </w:p>
    <w:p w:rsidP="004777F1">
      <w:pPr>
        <w:ind w:left="540" w:hanging="180"/>
        <w:rPr>
          <w:rFonts w:ascii="Garamond" w:hAnsi="Garamond"/>
          <w:sz w:val="22"/>
          <w:szCs w:val="22"/>
        </w:rPr>
      </w:pPr>
      <w:r>
        <w:rPr>
          <w:rFonts w:ascii="Garamond" w:hAnsi="Garamond"/>
          <w:sz w:val="22"/>
          <w:szCs w:val="22"/>
        </w:rPr>
        <w:t>4 Define basal-bolus insulin therapy</w:t>
      </w:r>
    </w:p>
    <w:p w:rsidP="004777F1">
      <w:pPr>
        <w:ind w:left="540" w:hanging="180"/>
        <w:rPr>
          <w:rFonts w:ascii="Garamond" w:hAnsi="Garamond"/>
          <w:sz w:val="22"/>
          <w:szCs w:val="22"/>
        </w:rPr>
      </w:pPr>
      <w:r>
        <w:rPr>
          <w:rFonts w:ascii="Garamond" w:hAnsi="Garamond"/>
          <w:sz w:val="22"/>
          <w:szCs w:val="22"/>
        </w:rPr>
        <w:t>5 Utilize insulin-to-carb (ICR) to accurately calculate insulin bolus for food</w:t>
      </w:r>
    </w:p>
    <w:p w:rsidP="004777F1">
      <w:pPr>
        <w:ind w:left="540" w:hanging="180"/>
        <w:rPr>
          <w:rFonts w:ascii="Garamond" w:hAnsi="Garamond"/>
          <w:sz w:val="22"/>
          <w:szCs w:val="22"/>
        </w:rPr>
      </w:pPr>
      <w:r>
        <w:rPr>
          <w:rFonts w:ascii="Garamond" w:hAnsi="Garamond"/>
          <w:sz w:val="22"/>
          <w:szCs w:val="22"/>
        </w:rPr>
        <w:t>6 Utilize correction factor (CF) to accurately calculate glucose correction doses.</w:t>
      </w:r>
    </w:p>
    <w:p w:rsidP="004777F1">
      <w:pPr>
        <w:ind w:left="540" w:hanging="180"/>
        <w:rPr>
          <w:rFonts w:ascii="Garamond" w:hAnsi="Garamond"/>
          <w:sz w:val="22"/>
          <w:szCs w:val="22"/>
        </w:rPr>
      </w:pPr>
      <w:r>
        <w:rPr>
          <w:rFonts w:ascii="Garamond" w:hAnsi="Garamond"/>
          <w:sz w:val="22"/>
          <w:szCs w:val="22"/>
        </w:rPr>
        <w:t xml:space="preserve">7 Identify appropriate use of insulin pens and insulin pumps.  </w:t>
      </w:r>
    </w:p>
    <w:p w:rsidP="004777F1">
      <w:pPr>
        <w:ind w:left="540" w:hanging="180"/>
        <w:rPr>
          <w:rFonts w:ascii="Garamond" w:hAnsi="Garamond"/>
          <w:sz w:val="22"/>
          <w:szCs w:val="22"/>
        </w:rPr>
      </w:pPr>
      <w:r>
        <w:rPr>
          <w:rFonts w:ascii="Garamond" w:hAnsi="Garamond"/>
          <w:sz w:val="22"/>
          <w:szCs w:val="22"/>
        </w:rPr>
        <w:t>8 Identify causes, signs, and symptoms of hypoglycemia.  Describe prevention and treatment, including use of glucagon.</w:t>
      </w:r>
    </w:p>
    <w:p w:rsidP="004777F1">
      <w:pPr>
        <w:ind w:left="540" w:hanging="180"/>
        <w:rPr>
          <w:rFonts w:ascii="Garamond" w:hAnsi="Garamond"/>
          <w:sz w:val="22"/>
          <w:szCs w:val="22"/>
        </w:rPr>
      </w:pPr>
      <w:r>
        <w:rPr>
          <w:rFonts w:ascii="Garamond" w:hAnsi="Garamond"/>
          <w:sz w:val="22"/>
          <w:szCs w:val="22"/>
        </w:rPr>
        <w:t>9 Identify causes, signs, and symptoms of hyperglycemia.  Describe prevention and treatment, including ketone management.</w:t>
      </w:r>
    </w:p>
    <w:p w:rsidP="004777F1">
      <w:pPr>
        <w:ind w:left="540" w:hanging="180"/>
        <w:rPr>
          <w:rFonts w:ascii="Garamond" w:hAnsi="Garamond"/>
          <w:sz w:val="22"/>
          <w:szCs w:val="22"/>
        </w:rPr>
      </w:pPr>
      <w:r>
        <w:rPr>
          <w:rFonts w:ascii="Garamond" w:hAnsi="Garamond"/>
          <w:sz w:val="22"/>
          <w:szCs w:val="22"/>
        </w:rPr>
        <w:t>10 Identify causes, signs, and symptoms of DKA.  Describe the need for emergency treatment.</w:t>
      </w:r>
    </w:p>
    <w:p w:rsidR="004777F1" w:rsidP="004777F1">
      <w:pPr>
        <w:ind w:left="540" w:hanging="180"/>
        <w:rPr>
          <w:rFonts w:ascii="Garamond" w:hAnsi="Garamond"/>
          <w:sz w:val="22"/>
          <w:szCs w:val="22"/>
        </w:rPr>
      </w:pPr>
      <w:r>
        <w:rPr>
          <w:rFonts w:ascii="Garamond" w:hAnsi="Garamond"/>
          <w:sz w:val="22"/>
          <w:szCs w:val="22"/>
        </w:rPr>
        <w:t>11 Describe how to contact Nationwide Children's for guidance.</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2.75</w:instrText>
      </w:r>
      <w:r>
        <w:rPr>
          <w:sz w:val="20"/>
          <w:szCs w:val="20"/>
        </w:rPr>
        <w:instrText xml:space="preserve"> &gt; 0 "(</w:instrText>
      </w:r>
      <w:r>
        <w:rPr>
          <w:sz w:val="20"/>
          <w:szCs w:val="20"/>
        </w:rPr>
        <w:instrText>2.75</w:instrText>
      </w:r>
      <w:r>
        <w:rPr>
          <w:sz w:val="20"/>
          <w:szCs w:val="20"/>
        </w:rPr>
        <w:instrText xml:space="preserve"> ANCC contact hour(s)) " "" </w:instrText>
      </w:r>
      <w:r>
        <w:rPr>
          <w:sz w:val="20"/>
          <w:szCs w:val="20"/>
        </w:rPr>
        <w:fldChar w:fldCharType="separate"/>
      </w:r>
      <w:r>
        <w:rPr>
          <w:sz w:val="20"/>
          <w:szCs w:val="20"/>
        </w:rPr>
        <w:t>(</w:t>
      </w:r>
      <w:r>
        <w:rPr>
          <w:sz w:val="20"/>
          <w:szCs w:val="20"/>
        </w:rPr>
        <w:t>2.75</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