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BH Education: Impact of Caregiver Trauma on Parenting Home Study (#39619)</w:instrText>
      </w:r>
      <w:r>
        <w:rPr>
          <w:rFonts w:ascii="Garamond" w:hAnsi="Garamond"/>
          <w:bCs/>
        </w:rPr>
        <w:instrText xml:space="preserve">" </w:instrText>
      </w:r>
      <w:r>
        <w:rPr>
          <w:rFonts w:ascii="Garamond" w:hAnsi="Garamond"/>
          <w:bCs/>
        </w:rPr>
        <w:fldChar w:fldCharType="separate"/>
      </w:r>
      <w:r>
        <w:rPr>
          <w:rFonts w:ascii="Garamond" w:hAnsi="Garamond"/>
          <w:bCs/>
        </w:rPr>
        <w:t>BH Education: Impact of Caregiver Trauma on Parenting Home Study (#39619)</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January 7,</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J Kerlek,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support-Organon_Merck (Relationship has ended)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Schaffner, IMFT-S, 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trauma across the lifespan</w:instrText>
      </w:r>
    </w:p>
    <w:p w:rsidR="004777F1">
      <w:pPr>
        <w:bidi w:val="0"/>
        <w:spacing w:after="280" w:afterAutospacing="1"/>
        <w:rPr>
          <w:rFonts w:ascii="Garamond" w:hAnsi="Garamond"/>
          <w:sz w:val="22"/>
          <w:szCs w:val="22"/>
        </w:rPr>
      </w:pPr>
      <w:r>
        <w:rPr>
          <w:rFonts w:ascii="Garamond" w:hAnsi="Garamond"/>
          <w:sz w:val="22"/>
          <w:szCs w:val="22"/>
        </w:rPr>
        <w:instrText>2 Utilize assessment and screening strategies for caregiver and child</w:instrText>
      </w:r>
    </w:p>
    <w:p w:rsidR="004777F1">
      <w:pPr>
        <w:bidi w:val="0"/>
        <w:spacing w:after="280" w:afterAutospacing="1"/>
        <w:rPr>
          <w:rFonts w:ascii="Garamond" w:hAnsi="Garamond"/>
          <w:sz w:val="22"/>
          <w:szCs w:val="22"/>
        </w:rPr>
      </w:pPr>
      <w:r>
        <w:rPr>
          <w:rFonts w:ascii="Garamond" w:hAnsi="Garamond"/>
          <w:sz w:val="22"/>
          <w:szCs w:val="22"/>
        </w:rPr>
        <w:instrText>3 List 2 strategies or techniques in treatment to support caregiver trauma and its impact on parenting</w:instrText>
      </w:r>
    </w:p>
    <w:p w:rsidR="004777F1">
      <w:pPr>
        <w:bidi w:val="0"/>
        <w:spacing w:after="280" w:afterAutospacing="1"/>
        <w:rPr>
          <w:rFonts w:ascii="Garamond" w:hAnsi="Garamond"/>
          <w:sz w:val="22"/>
          <w:szCs w:val="22"/>
        </w:rPr>
      </w:pPr>
      <w:r>
        <w:rPr>
          <w:rFonts w:ascii="Garamond" w:hAnsi="Garamond"/>
          <w:sz w:val="22"/>
          <w:szCs w:val="22"/>
        </w:rPr>
        <w:instrText>4 Utilize strategies to improve communication among the healthcare team.</w:instrText>
      </w:r>
    </w:p>
    <w:p w:rsidR="004777F1">
      <w:pPr>
        <w:bidi w:val="0"/>
        <w:spacing w:after="280" w:afterAutospacing="1"/>
        <w:rPr>
          <w:rFonts w:ascii="Garamond" w:hAnsi="Garamond"/>
          <w:sz w:val="22"/>
          <w:szCs w:val="22"/>
        </w:rPr>
      </w:pP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trauma across the lifespan</w:instrText>
      </w:r>
    </w:p>
    <w:p w:rsidP="004777F1">
      <w:pPr>
        <w:ind w:left="540" w:hanging="180"/>
        <w:rPr>
          <w:rFonts w:ascii="Garamond" w:hAnsi="Garamond"/>
          <w:sz w:val="22"/>
          <w:szCs w:val="22"/>
        </w:rPr>
      </w:pPr>
      <w:r>
        <w:rPr>
          <w:rFonts w:ascii="Garamond" w:hAnsi="Garamond"/>
          <w:sz w:val="22"/>
          <w:szCs w:val="22"/>
        </w:rPr>
        <w:instrText>2 Utilize assessment and screening strategies for caregiver and child</w:instrText>
      </w:r>
    </w:p>
    <w:p w:rsidP="004777F1">
      <w:pPr>
        <w:ind w:left="540" w:hanging="180"/>
        <w:rPr>
          <w:rFonts w:ascii="Garamond" w:hAnsi="Garamond"/>
          <w:sz w:val="22"/>
          <w:szCs w:val="22"/>
        </w:rPr>
      </w:pPr>
      <w:r>
        <w:rPr>
          <w:rFonts w:ascii="Garamond" w:hAnsi="Garamond"/>
          <w:sz w:val="22"/>
          <w:szCs w:val="22"/>
        </w:rPr>
        <w:instrText>3 List 2 strategies or techniques in treatment to support caregiver trauma and its impact on parenting</w:instrText>
      </w:r>
    </w:p>
    <w:p w:rsidP="004777F1">
      <w:pPr>
        <w:ind w:left="540" w:hanging="180"/>
        <w:rPr>
          <w:rFonts w:ascii="Garamond" w:hAnsi="Garamond"/>
          <w:sz w:val="22"/>
          <w:szCs w:val="22"/>
        </w:rPr>
      </w:pPr>
      <w:r>
        <w:rPr>
          <w:rFonts w:ascii="Garamond" w:hAnsi="Garamond"/>
          <w:sz w:val="22"/>
          <w:szCs w:val="22"/>
        </w:rPr>
        <w:instrText>4 Utilize strategies to improve communication among the healthcare team.</w:instrText>
      </w:r>
    </w:p>
    <w:p w:rsidP="004777F1">
      <w:pPr>
        <w:ind w:left="540" w:hanging="180"/>
        <w:rPr>
          <w:rFonts w:ascii="Garamond" w:hAnsi="Garamond"/>
          <w:sz w:val="22"/>
          <w:szCs w:val="22"/>
        </w:rPr>
      </w:pP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trauma across the lifespan</w:t>
      </w:r>
    </w:p>
    <w:p w:rsidP="004777F1">
      <w:pPr>
        <w:ind w:left="540" w:hanging="180"/>
        <w:rPr>
          <w:rFonts w:ascii="Garamond" w:hAnsi="Garamond"/>
          <w:sz w:val="22"/>
          <w:szCs w:val="22"/>
        </w:rPr>
      </w:pPr>
      <w:r>
        <w:rPr>
          <w:rFonts w:ascii="Garamond" w:hAnsi="Garamond"/>
          <w:sz w:val="22"/>
          <w:szCs w:val="22"/>
        </w:rPr>
        <w:t>2 Utilize assessment and screening strategies for caregiver and child</w:t>
      </w:r>
    </w:p>
    <w:p w:rsidP="004777F1">
      <w:pPr>
        <w:ind w:left="540" w:hanging="180"/>
        <w:rPr>
          <w:rFonts w:ascii="Garamond" w:hAnsi="Garamond"/>
          <w:sz w:val="22"/>
          <w:szCs w:val="22"/>
        </w:rPr>
      </w:pPr>
      <w:r>
        <w:rPr>
          <w:rFonts w:ascii="Garamond" w:hAnsi="Garamond"/>
          <w:sz w:val="22"/>
          <w:szCs w:val="22"/>
        </w:rPr>
        <w:t>3 List 2 strategies or techniques in treatment to support caregiver trauma and its impact on parenting</w:t>
      </w:r>
    </w:p>
    <w:p w:rsidP="004777F1">
      <w:pPr>
        <w:ind w:left="540" w:hanging="180"/>
        <w:rPr>
          <w:rFonts w:ascii="Garamond" w:hAnsi="Garamond"/>
          <w:sz w:val="22"/>
          <w:szCs w:val="22"/>
        </w:rPr>
      </w:pPr>
      <w:r>
        <w:rPr>
          <w:rFonts w:ascii="Garamond" w:hAnsi="Garamond"/>
          <w:sz w:val="22"/>
          <w:szCs w:val="22"/>
        </w:rPr>
        <w:t>4 Utilize strategies to improve communication among the healthcare team.</w:t>
      </w:r>
    </w:p>
    <w:p w:rsidR="004777F1" w:rsidP="004777F1">
      <w:pPr>
        <w:ind w:left="540" w:hanging="180"/>
        <w:rPr>
          <w:rFonts w:ascii="Garamond" w:hAnsi="Garamond"/>
          <w:sz w:val="22"/>
          <w:szCs w:val="22"/>
        </w:rPr>
      </w:pP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1.50</w:instrText>
      </w:r>
      <w:r>
        <w:rPr>
          <w:sz w:val="20"/>
          <w:szCs w:val="20"/>
        </w:rPr>
        <w:instrText xml:space="preserve"> &gt; 0 "(</w:instrText>
      </w:r>
      <w:r>
        <w:rPr>
          <w:sz w:val="20"/>
          <w:szCs w:val="20"/>
        </w:rPr>
        <w:instrText>1.50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1.50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1.50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1.50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1.50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1.50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782170249"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1.50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1.50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1.50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70994015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1.50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