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BH Education: Complex, But Not So Complicated: Supporting Behavioral Health Needs of Children with Cerebral Palsy Home Study (#39460)</w:instrText>
      </w:r>
      <w:r>
        <w:rPr>
          <w:rFonts w:ascii="Garamond" w:hAnsi="Garamond"/>
          <w:bCs/>
        </w:rPr>
        <w:instrText xml:space="preserve">" </w:instrText>
      </w:r>
      <w:r>
        <w:rPr>
          <w:rFonts w:ascii="Garamond" w:hAnsi="Garamond"/>
          <w:bCs/>
        </w:rPr>
        <w:fldChar w:fldCharType="separate"/>
      </w:r>
      <w:r>
        <w:rPr>
          <w:rFonts w:ascii="Garamond" w:hAnsi="Garamond"/>
          <w:bCs/>
        </w:rPr>
        <w:t>BH Education: Complex, But Not So Complicated: Supporting Behavioral Health Needs of Children with Cerebral Palsy Home Study (#39460)</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January 7,</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Kara S Monnin,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Mifflin,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Peterson,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identify common mental health concerns (e.g., anxiety, depression) and recognize associated risk factors within this population.</w:instrText>
      </w:r>
    </w:p>
    <w:p w:rsidR="004777F1">
      <w:pPr>
        <w:bidi w:val="0"/>
        <w:spacing w:after="280" w:afterAutospacing="1"/>
        <w:rPr>
          <w:rFonts w:ascii="Garamond" w:hAnsi="Garamond"/>
          <w:sz w:val="22"/>
          <w:szCs w:val="22"/>
        </w:rPr>
      </w:pPr>
      <w:r>
        <w:rPr>
          <w:rFonts w:ascii="Garamond" w:hAnsi="Garamond"/>
          <w:sz w:val="22"/>
          <w:szCs w:val="22"/>
        </w:rPr>
        <w:instrText>2 utilize assessment tools and strategies that account for the complex symptom presentation of CP, such as functional limitations and communication differences</w:instrText>
      </w:r>
    </w:p>
    <w:p w:rsidR="004777F1">
      <w:pPr>
        <w:bidi w:val="0"/>
        <w:spacing w:after="280" w:afterAutospacing="1"/>
        <w:rPr>
          <w:rFonts w:ascii="Garamond" w:hAnsi="Garamond"/>
          <w:sz w:val="22"/>
          <w:szCs w:val="22"/>
        </w:rPr>
      </w:pPr>
      <w:r>
        <w:rPr>
          <w:rFonts w:ascii="Garamond" w:hAnsi="Garamond"/>
          <w:sz w:val="22"/>
          <w:szCs w:val="22"/>
        </w:rPr>
        <w:instrText>3 identify individualized strategies for managing behaviors, promoting coping skills, and improving emotional regulation for children with CP, while involving and empowering caregivers</w:instrText>
      </w:r>
    </w:p>
    <w:p w:rsidR="004777F1">
      <w:pPr>
        <w:bidi w:val="0"/>
        <w:spacing w:after="280" w:afterAutospacing="1"/>
        <w:rPr>
          <w:rFonts w:ascii="Garamond" w:hAnsi="Garamond"/>
          <w:sz w:val="22"/>
          <w:szCs w:val="22"/>
        </w:rPr>
      </w:pPr>
      <w:r>
        <w:rPr>
          <w:rFonts w:ascii="Garamond" w:hAnsi="Garamond"/>
          <w:sz w:val="22"/>
          <w:szCs w:val="22"/>
        </w:rPr>
        <w:instrText>4 Utilize strategies to improve communication among the healthcare team.</w:instrText>
      </w:r>
    </w:p>
    <w:p w:rsidR="004777F1">
      <w:pPr>
        <w:bidi w:val="0"/>
        <w:spacing w:after="280" w:afterAutospacing="1"/>
        <w:rPr>
          <w:rFonts w:ascii="Garamond" w:hAnsi="Garamond"/>
          <w:sz w:val="22"/>
          <w:szCs w:val="22"/>
        </w:rPr>
      </w:pP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identify common mental health concerns (e.g., anxiety, depression) and recognize associated risk factors within this population.</w:instrText>
      </w:r>
    </w:p>
    <w:p w:rsidP="004777F1">
      <w:pPr>
        <w:ind w:left="540" w:hanging="180"/>
        <w:rPr>
          <w:rFonts w:ascii="Garamond" w:hAnsi="Garamond"/>
          <w:sz w:val="22"/>
          <w:szCs w:val="22"/>
        </w:rPr>
      </w:pPr>
      <w:r>
        <w:rPr>
          <w:rFonts w:ascii="Garamond" w:hAnsi="Garamond"/>
          <w:sz w:val="22"/>
          <w:szCs w:val="22"/>
        </w:rPr>
        <w:instrText>2 utilize assessment tools and strategies that account for the complex symptom presentation of CP, such as functional limitations and communication differences</w:instrText>
      </w:r>
    </w:p>
    <w:p w:rsidP="004777F1">
      <w:pPr>
        <w:ind w:left="540" w:hanging="180"/>
        <w:rPr>
          <w:rFonts w:ascii="Garamond" w:hAnsi="Garamond"/>
          <w:sz w:val="22"/>
          <w:szCs w:val="22"/>
        </w:rPr>
      </w:pPr>
      <w:r>
        <w:rPr>
          <w:rFonts w:ascii="Garamond" w:hAnsi="Garamond"/>
          <w:sz w:val="22"/>
          <w:szCs w:val="22"/>
        </w:rPr>
        <w:instrText>3 identify individualized strategies for managing behaviors, promoting coping skills, and improving emotional regulation for children with CP, while involving and empowering caregivers</w:instrText>
      </w:r>
    </w:p>
    <w:p w:rsidP="004777F1">
      <w:pPr>
        <w:ind w:left="540" w:hanging="180"/>
        <w:rPr>
          <w:rFonts w:ascii="Garamond" w:hAnsi="Garamond"/>
          <w:sz w:val="22"/>
          <w:szCs w:val="22"/>
        </w:rPr>
      </w:pPr>
      <w:r>
        <w:rPr>
          <w:rFonts w:ascii="Garamond" w:hAnsi="Garamond"/>
          <w:sz w:val="22"/>
          <w:szCs w:val="22"/>
        </w:rPr>
        <w:instrText>4 Utilize strategies to improve communication among the healthcare team.</w:instrText>
      </w:r>
    </w:p>
    <w:p w:rsidP="004777F1">
      <w:pPr>
        <w:ind w:left="540" w:hanging="180"/>
        <w:rPr>
          <w:rFonts w:ascii="Garamond" w:hAnsi="Garamond"/>
          <w:sz w:val="22"/>
          <w:szCs w:val="22"/>
        </w:rPr>
      </w:pP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identify common mental health concerns (e.g., anxiety, depression) and recognize associated risk factors within this population.</w:t>
      </w:r>
    </w:p>
    <w:p w:rsidP="004777F1">
      <w:pPr>
        <w:ind w:left="540" w:hanging="180"/>
        <w:rPr>
          <w:rFonts w:ascii="Garamond" w:hAnsi="Garamond"/>
          <w:sz w:val="22"/>
          <w:szCs w:val="22"/>
        </w:rPr>
      </w:pPr>
      <w:r>
        <w:rPr>
          <w:rFonts w:ascii="Garamond" w:hAnsi="Garamond"/>
          <w:sz w:val="22"/>
          <w:szCs w:val="22"/>
        </w:rPr>
        <w:t>2 utilize assessment tools and strategies that account for the complex symptom presentation of CP, such as functional limitations and communication differences</w:t>
      </w:r>
    </w:p>
    <w:p w:rsidP="004777F1">
      <w:pPr>
        <w:ind w:left="540" w:hanging="180"/>
        <w:rPr>
          <w:rFonts w:ascii="Garamond" w:hAnsi="Garamond"/>
          <w:sz w:val="22"/>
          <w:szCs w:val="22"/>
        </w:rPr>
      </w:pPr>
      <w:r>
        <w:rPr>
          <w:rFonts w:ascii="Garamond" w:hAnsi="Garamond"/>
          <w:sz w:val="22"/>
          <w:szCs w:val="22"/>
        </w:rPr>
        <w:t>3 identify individualized strategies for managing behaviors, promoting coping skills, and improving emotional regulation for children with CP, while involving and empowering caregivers</w:t>
      </w:r>
    </w:p>
    <w:p w:rsidP="004777F1">
      <w:pPr>
        <w:ind w:left="540" w:hanging="180"/>
        <w:rPr>
          <w:rFonts w:ascii="Garamond" w:hAnsi="Garamond"/>
          <w:sz w:val="22"/>
          <w:szCs w:val="22"/>
        </w:rPr>
      </w:pPr>
      <w:r>
        <w:rPr>
          <w:rFonts w:ascii="Garamond" w:hAnsi="Garamond"/>
          <w:sz w:val="22"/>
          <w:szCs w:val="22"/>
        </w:rPr>
        <w:t>4 Utilize strategies to improve communication among the healthcare team.</w:t>
      </w:r>
    </w:p>
    <w:p w:rsidR="004777F1" w:rsidP="004777F1">
      <w:pPr>
        <w:ind w:left="540" w:hanging="180"/>
        <w:rPr>
          <w:rFonts w:ascii="Garamond" w:hAnsi="Garamond"/>
          <w:sz w:val="22"/>
          <w:szCs w:val="22"/>
        </w:rPr>
      </w:pP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ANCCHoursMax \# 0.00# </w:instrText>
      </w:r>
      <w:r>
        <w:rPr>
          <w:sz w:val="20"/>
          <w:szCs w:val="20"/>
        </w:rPr>
        <w:fldChar w:fldCharType="separate"/>
      </w:r>
      <w:r>
        <w:rPr>
          <w:sz w:val="20"/>
          <w:szCs w:val="20"/>
        </w:rPr>
        <w:fldChar w:fldCharType="end"/>
      </w:r>
      <w:r>
        <w:rPr>
          <w:sz w:val="20"/>
          <w:szCs w:val="20"/>
        </w:rPr>
        <w:instrText xml:space="preserve"> ANCC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824419093"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484673781"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