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Partners for Kids-Behavioral Health Community Education Series: Balancing Act: Navigating Competency and Bias in Suicide Care Ethics (#38519) **CSWMFT &amp; OPA-MCE Ethics**</w:instrText>
      </w:r>
      <w:r>
        <w:rPr>
          <w:rFonts w:ascii="Garamond" w:hAnsi="Garamond"/>
          <w:bCs/>
        </w:rPr>
        <w:instrText xml:space="preserve">" </w:instrText>
      </w:r>
      <w:r>
        <w:rPr>
          <w:rFonts w:ascii="Garamond" w:hAnsi="Garamond"/>
          <w:bCs/>
        </w:rPr>
        <w:fldChar w:fldCharType="separate"/>
      </w:r>
      <w:r>
        <w:rPr>
          <w:rFonts w:ascii="Garamond" w:hAnsi="Garamond"/>
          <w:bCs/>
        </w:rPr>
        <w:t>Partners for Kids-Behavioral Health Community Education Series: Balancing Act: Navigating Competency and Bias in Suicide Care Ethics (#38519) **CSWMFT &amp; OPA-MCE Ethics**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December 12,</w:t>
      </w:r>
      <w:r>
        <w:rPr>
          <w:rFonts w:ascii="Garamond" w:hAnsi="Garamond"/>
          <w:bCs/>
        </w:rPr>
        <w:t xml:space="preserve"> 2025 - 9:00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Amberle Prater,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Tyanna Snider,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58919222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24957395"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73259333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