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Partners for Kids-Behavioral Health Community Education Series: Use of CBT to Treat Trauma Reactions (#38261)</w:instrText>
      </w:r>
      <w:r>
        <w:rPr>
          <w:rFonts w:ascii="Garamond" w:hAnsi="Garamond"/>
          <w:bCs/>
        </w:rPr>
        <w:instrText xml:space="preserve">" </w:instrText>
      </w:r>
      <w:r>
        <w:rPr>
          <w:rFonts w:ascii="Garamond" w:hAnsi="Garamond"/>
          <w:bCs/>
        </w:rPr>
        <w:fldChar w:fldCharType="separate"/>
      </w:r>
      <w:r>
        <w:rPr>
          <w:rFonts w:ascii="Garamond" w:hAnsi="Garamond"/>
          <w:bCs/>
        </w:rPr>
        <w:t>Partners for Kids-Behavioral Health Community Education Series: Use of CBT to Treat Trauma Reactions (#38261)</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May 9,</w:t>
      </w:r>
      <w:r>
        <w:rPr>
          <w:rFonts w:ascii="Garamond" w:hAnsi="Garamond"/>
          <w:bCs/>
        </w:rPr>
        <w:t xml:space="preserve"> 2025 - 9:00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Daneisha Washington, LISW-S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Seaman, LPCC-S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- 05/06/2025</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Apply CBT modules to clients presenting with trauma.</w:instrText>
      </w:r>
    </w:p>
    <w:p w:rsidR="004777F1">
      <w:pPr>
        <w:bidi w:val="0"/>
        <w:spacing w:after="280" w:afterAutospacing="1"/>
        <w:rPr>
          <w:rFonts w:ascii="Garamond" w:hAnsi="Garamond"/>
          <w:sz w:val="22"/>
          <w:szCs w:val="22"/>
        </w:rPr>
      </w:pPr>
      <w:r>
        <w:rPr>
          <w:rFonts w:ascii="Garamond" w:hAnsi="Garamond"/>
          <w:sz w:val="22"/>
          <w:szCs w:val="22"/>
        </w:rPr>
        <w:instrText>2 Create a trauma-informed work environment.</w:instrText>
      </w:r>
    </w:p>
    <w:p w:rsidR="004777F1">
      <w:pPr>
        <w:bidi w:val="0"/>
        <w:spacing w:after="280" w:afterAutospacing="1"/>
        <w:rPr>
          <w:rFonts w:ascii="Garamond" w:hAnsi="Garamond"/>
          <w:sz w:val="22"/>
          <w:szCs w:val="22"/>
        </w:rPr>
      </w:pPr>
      <w:r>
        <w:rPr>
          <w:rFonts w:ascii="Garamond" w:hAnsi="Garamond"/>
          <w:sz w:val="22"/>
          <w:szCs w:val="22"/>
        </w:rPr>
        <w:instrText>3 Engage in small group activity to apply skills learned during this training.</w:instrText>
      </w:r>
    </w:p>
    <w:p w:rsidR="004777F1">
      <w:pPr>
        <w:bidi w:val="0"/>
        <w:spacing w:after="280" w:afterAutospacing="1"/>
        <w:rPr>
          <w:rFonts w:ascii="Garamond" w:hAnsi="Garamond"/>
          <w:sz w:val="22"/>
          <w:szCs w:val="22"/>
        </w:rPr>
      </w:pPr>
      <w:r>
        <w:rPr>
          <w:rFonts w:ascii="Garamond" w:hAnsi="Garamond"/>
          <w:sz w:val="22"/>
          <w:szCs w:val="22"/>
        </w:rPr>
        <w:instrText>4 Utilize strategies to improve communication among the healthcare team.</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Apply CBT modules to clients presenting with trauma.</w:instrText>
      </w:r>
    </w:p>
    <w:p w:rsidP="004777F1">
      <w:pPr>
        <w:ind w:left="540" w:hanging="180"/>
        <w:rPr>
          <w:rFonts w:ascii="Garamond" w:hAnsi="Garamond"/>
          <w:sz w:val="22"/>
          <w:szCs w:val="22"/>
        </w:rPr>
      </w:pPr>
      <w:r>
        <w:rPr>
          <w:rFonts w:ascii="Garamond" w:hAnsi="Garamond"/>
          <w:sz w:val="22"/>
          <w:szCs w:val="22"/>
        </w:rPr>
        <w:instrText>2 Create a trauma-informed work environment.</w:instrText>
      </w:r>
    </w:p>
    <w:p w:rsidP="004777F1">
      <w:pPr>
        <w:ind w:left="540" w:hanging="180"/>
        <w:rPr>
          <w:rFonts w:ascii="Garamond" w:hAnsi="Garamond"/>
          <w:sz w:val="22"/>
          <w:szCs w:val="22"/>
        </w:rPr>
      </w:pPr>
      <w:r>
        <w:rPr>
          <w:rFonts w:ascii="Garamond" w:hAnsi="Garamond"/>
          <w:sz w:val="22"/>
          <w:szCs w:val="22"/>
        </w:rPr>
        <w:instrText>3 Engage in small group activity to apply skills learned during this training.</w:instrText>
      </w:r>
    </w:p>
    <w:p w:rsidP="004777F1">
      <w:pPr>
        <w:ind w:left="540" w:hanging="180"/>
        <w:rPr>
          <w:rFonts w:ascii="Garamond" w:hAnsi="Garamond"/>
          <w:sz w:val="22"/>
          <w:szCs w:val="22"/>
        </w:rPr>
      </w:pPr>
      <w:r>
        <w:rPr>
          <w:rFonts w:ascii="Garamond" w:hAnsi="Garamond"/>
          <w:sz w:val="22"/>
          <w:szCs w:val="22"/>
        </w:rPr>
        <w:instrText>4 Utilize strategies to improve communication among the healthcare team.</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Apply CBT modules to clients presenting with trauma.</w:t>
      </w:r>
    </w:p>
    <w:p w:rsidP="004777F1">
      <w:pPr>
        <w:ind w:left="540" w:hanging="180"/>
        <w:rPr>
          <w:rFonts w:ascii="Garamond" w:hAnsi="Garamond"/>
          <w:sz w:val="22"/>
          <w:szCs w:val="22"/>
        </w:rPr>
      </w:pPr>
      <w:r>
        <w:rPr>
          <w:rFonts w:ascii="Garamond" w:hAnsi="Garamond"/>
          <w:sz w:val="22"/>
          <w:szCs w:val="22"/>
        </w:rPr>
        <w:t>2 Create a trauma-informed work environment.</w:t>
      </w:r>
    </w:p>
    <w:p w:rsidP="004777F1">
      <w:pPr>
        <w:ind w:left="540" w:hanging="180"/>
        <w:rPr>
          <w:rFonts w:ascii="Garamond" w:hAnsi="Garamond"/>
          <w:sz w:val="22"/>
          <w:szCs w:val="22"/>
        </w:rPr>
      </w:pPr>
      <w:r>
        <w:rPr>
          <w:rFonts w:ascii="Garamond" w:hAnsi="Garamond"/>
          <w:sz w:val="22"/>
          <w:szCs w:val="22"/>
        </w:rPr>
        <w:t>3 Engage in small group activity to apply skills learned during this training.</w:t>
      </w:r>
    </w:p>
    <w:p w:rsidR="004777F1" w:rsidP="004777F1">
      <w:pPr>
        <w:ind w:left="540" w:hanging="180"/>
        <w:rPr>
          <w:rFonts w:ascii="Garamond" w:hAnsi="Garamond"/>
          <w:sz w:val="22"/>
          <w:szCs w:val="22"/>
        </w:rPr>
      </w:pPr>
      <w:r>
        <w:rPr>
          <w:rFonts w:ascii="Garamond" w:hAnsi="Garamond"/>
          <w:sz w:val="22"/>
          <w:szCs w:val="22"/>
        </w:rPr>
        <w:t>4 Utilize strategies to improve communication among the healthcare team.</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9504"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ANCC contact hour(s)) " "" </w:instrText>
      </w:r>
      <w:r>
        <w:rPr>
          <w:sz w:val="20"/>
          <w:szCs w:val="20"/>
        </w:rPr>
        <w:fldChar w:fldCharType="separate"/>
      </w:r>
      <w:r>
        <w:rPr>
          <w:sz w:val="20"/>
          <w:szCs w:val="20"/>
        </w:rPr>
        <w:t>(</w:t>
      </w:r>
      <w:r>
        <w:rPr>
          <w:sz w:val="20"/>
          <w:szCs w:val="20"/>
        </w:rPr>
        <w:t>3.00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3.00</w:instrText>
      </w:r>
      <w:r>
        <w:rPr>
          <w:sz w:val="20"/>
          <w:szCs w:val="20"/>
        </w:rPr>
        <w:instrText xml:space="preserve"> &gt; 0 "(</w:instrText>
      </w:r>
      <w:r>
        <w:rPr>
          <w:sz w:val="20"/>
          <w:szCs w:val="20"/>
        </w:rPr>
        <w:instrText>3.00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"activity" </w:instrText>
      </w:r>
      <w:r>
        <w:rPr>
          <w:sz w:val="20"/>
          <w:szCs w:val="20"/>
        </w:rPr>
        <w:fldChar w:fldCharType="separate"/>
      </w:r>
      <w:r>
        <w:rPr>
          <w:sz w:val="20"/>
          <w:szCs w:val="20"/>
        </w:rPr>
        <w:instrText>live 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3.00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3.00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live activity</w:t>
      </w:r>
      <w:r>
        <w:rPr>
          <w:sz w:val="20"/>
          <w:szCs w:val="20"/>
        </w:rPr>
        <w:t xml:space="preserve"> </w:t>
      </w:r>
      <w:r w:rsidRPr="00443EE9">
        <w:rPr>
          <w:sz w:val="20"/>
          <w:szCs w:val="20"/>
        </w:rPr>
        <w:t xml:space="preserve">for a maximum of </w:t>
      </w:r>
      <w:r>
        <w:rPr>
          <w:sz w:val="20"/>
          <w:szCs w:val="20"/>
        </w:rPr>
        <w:t>3.00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3.00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499072570"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3.00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instrText>3.00</w:instrText>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818202818"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t>
      </w:r>
      <w:r w:rsidRPr="00207F0D">
        <w:rPr>
          <w:rFonts w:asciiTheme="minorHAnsi" w:hAnsiTheme="minorHAnsi"/>
          <w:sz w:val="20"/>
          <w:szCs w:val="20"/>
        </w:rPr>
        <w:t>3.00</w:t>
      </w:r>
      <w:r w:rsidRPr="00207F0D">
        <w:rPr>
          <w:rFonts w:asciiTheme="minorHAnsi" w:hAnsiTheme="minorHAnsi"/>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instrText>3.00</w:instrText>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noProof/>
          <w:sz w:val="20"/>
          <w:szCs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1801666775"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t>Continuing Education (CE) credits for psychologists are provided through the co-sponsorship of the American Psychological Association (APA) Office of Continuing Education in Psychology (CEP). The APA CEP Office maintains responsibility for the content of the programs.</w:t>
      </w:r>
      <w:r w:rsidRPr="00207F0D">
        <w:rPr>
          <w:rFonts w:asciiTheme="minorHAnsi" w:hAnsiTheme="minorHAnsi"/>
        </w:rPr>
        <w:t xml:space="preserve"> </w:t>
      </w:r>
      <w:r w:rsidRPr="00207F0D">
        <w:rPr>
          <w:rFonts w:asciiTheme="minorHAnsi" w:hAnsiTheme="minorHAnsi"/>
          <w:noProof/>
          <w:sz w:val="20"/>
          <w:szCs w:val="20"/>
        </w:rPr>
        <w:t xml:space="preserve">Nationwide Children's Hospital designates this activity for </w:t>
      </w:r>
      <w:r w:rsidRPr="00207F0D">
        <w:rPr>
          <w:rFonts w:asciiTheme="minorHAnsi" w:hAnsiTheme="minorHAnsi"/>
          <w:noProof/>
          <w:sz w:val="20"/>
          <w:szCs w:val="20"/>
        </w:rPr>
        <w:t>3.00</w:t>
      </w:r>
      <w:r w:rsidRPr="00207F0D">
        <w:rPr>
          <w:rFonts w:asciiTheme="minorHAnsi" w:hAnsiTheme="minorHAnsi"/>
          <w:noProof/>
          <w:sz w:val="20"/>
          <w:szCs w:val="20"/>
        </w:rPr>
        <w:t xml:space="preserve"> continuing education credit(s).</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